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79E97" w14:textId="156BF6B8" w:rsidR="007B32B8" w:rsidRDefault="007B32B8" w:rsidP="007B32B8">
      <w:bookmarkStart w:id="0" w:name="_GoBack"/>
      <w:bookmarkEnd w:id="0"/>
      <w:r>
        <w:t xml:space="preserve">Spire Healthcare Group </w:t>
      </w:r>
      <w:r w:rsidR="00F75B15">
        <w:t>p</w:t>
      </w:r>
      <w:r>
        <w:t>lc</w:t>
      </w:r>
    </w:p>
    <w:p w14:paraId="255BBFE1" w14:textId="3C9F2DE7" w:rsidR="007B32B8" w:rsidRPr="009C0210" w:rsidRDefault="000851A7" w:rsidP="009C0210">
      <w:pPr>
        <w:pStyle w:val="Heading1"/>
        <w:spacing w:after="240" w:line="440" w:lineRule="exact"/>
        <w:jc w:val="center"/>
        <w:rPr>
          <w:rFonts w:ascii="Arial" w:hAnsi="Arial" w:cs="Arial"/>
          <w:b/>
          <w:sz w:val="22"/>
          <w:szCs w:val="22"/>
        </w:rPr>
      </w:pPr>
      <w:r w:rsidRPr="009C0210">
        <w:rPr>
          <w:rFonts w:ascii="Arial" w:hAnsi="Arial" w:cs="Arial"/>
          <w:b/>
          <w:sz w:val="22"/>
          <w:szCs w:val="22"/>
        </w:rPr>
        <w:t xml:space="preserve">Spire Healthcare reports </w:t>
      </w:r>
      <w:r w:rsidR="00513B18">
        <w:rPr>
          <w:rFonts w:ascii="Arial" w:hAnsi="Arial" w:cs="Arial"/>
          <w:b/>
          <w:sz w:val="22"/>
          <w:szCs w:val="22"/>
        </w:rPr>
        <w:t xml:space="preserve">its </w:t>
      </w:r>
      <w:r w:rsidR="007B32B8" w:rsidRPr="009C0210">
        <w:rPr>
          <w:rFonts w:ascii="Arial" w:hAnsi="Arial" w:cs="Arial"/>
          <w:b/>
          <w:sz w:val="22"/>
          <w:szCs w:val="22"/>
        </w:rPr>
        <w:t>results for the year ended 31 December 201</w:t>
      </w:r>
      <w:r w:rsidR="00001BDD">
        <w:rPr>
          <w:rFonts w:ascii="Arial" w:hAnsi="Arial" w:cs="Arial"/>
          <w:b/>
          <w:sz w:val="22"/>
          <w:szCs w:val="22"/>
        </w:rPr>
        <w:t>5</w:t>
      </w:r>
    </w:p>
    <w:p w14:paraId="4BDCD6FB" w14:textId="03F1F0B3" w:rsidR="009C2251" w:rsidRDefault="007B32B8" w:rsidP="00DC4685">
      <w:pPr>
        <w:jc w:val="both"/>
        <w:rPr>
          <w:szCs w:val="17"/>
        </w:rPr>
      </w:pPr>
      <w:r w:rsidRPr="00B2361E">
        <w:rPr>
          <w:b/>
          <w:szCs w:val="17"/>
        </w:rPr>
        <w:t xml:space="preserve">London, UK, </w:t>
      </w:r>
      <w:r w:rsidR="00001BDD">
        <w:rPr>
          <w:b/>
          <w:szCs w:val="17"/>
        </w:rPr>
        <w:t>17</w:t>
      </w:r>
      <w:r w:rsidRPr="00B2361E">
        <w:rPr>
          <w:b/>
          <w:szCs w:val="17"/>
        </w:rPr>
        <w:t xml:space="preserve"> March 201</w:t>
      </w:r>
      <w:r w:rsidR="00001BDD">
        <w:rPr>
          <w:b/>
          <w:szCs w:val="17"/>
        </w:rPr>
        <w:t>6</w:t>
      </w:r>
      <w:r w:rsidR="00C74AE4" w:rsidRPr="00B2361E">
        <w:rPr>
          <w:szCs w:val="17"/>
        </w:rPr>
        <w:t>, Spire Healthcare Group plc (LSE: SPI)</w:t>
      </w:r>
      <w:r w:rsidR="007B4336">
        <w:rPr>
          <w:szCs w:val="17"/>
        </w:rPr>
        <w:t xml:space="preserve">, one of the UK’s leading independent hospital groups, </w:t>
      </w:r>
      <w:r w:rsidR="00C74AE4" w:rsidRPr="00B2361E">
        <w:rPr>
          <w:szCs w:val="17"/>
        </w:rPr>
        <w:t xml:space="preserve">today announces its preliminary results for </w:t>
      </w:r>
      <w:r w:rsidR="009C0210">
        <w:rPr>
          <w:szCs w:val="17"/>
        </w:rPr>
        <w:t>t</w:t>
      </w:r>
      <w:r w:rsidR="00AD3780">
        <w:rPr>
          <w:szCs w:val="17"/>
        </w:rPr>
        <w:t>he year ended 31 December 201</w:t>
      </w:r>
      <w:r w:rsidR="00B15F20">
        <w:rPr>
          <w:szCs w:val="17"/>
        </w:rPr>
        <w:t>5</w:t>
      </w:r>
      <w:r w:rsidR="00AD3780">
        <w:rPr>
          <w:szCs w:val="17"/>
        </w:rPr>
        <w:t>.</w:t>
      </w:r>
      <w:r w:rsidR="00C60FAB">
        <w:rPr>
          <w:szCs w:val="17"/>
        </w:rPr>
        <w:t xml:space="preserve"> </w:t>
      </w:r>
    </w:p>
    <w:p w14:paraId="0314C4A7" w14:textId="77777777" w:rsidR="00EC2CAB" w:rsidRDefault="00EC2CAB" w:rsidP="00EC2CAB">
      <w:pPr>
        <w:pStyle w:val="Heading3"/>
      </w:pPr>
      <w:r>
        <w:t xml:space="preserve">SUMMARY </w:t>
      </w:r>
      <w:r w:rsidRPr="00B2361E">
        <w:t>Group Results for the year ended 31 December 201</w:t>
      </w:r>
      <w:r>
        <w:t>5</w:t>
      </w:r>
    </w:p>
    <w:tbl>
      <w:tblPr>
        <w:tblW w:w="9072" w:type="dxa"/>
        <w:tblLayout w:type="fixed"/>
        <w:tblCellMar>
          <w:left w:w="0" w:type="dxa"/>
          <w:right w:w="57" w:type="dxa"/>
        </w:tblCellMar>
        <w:tblLook w:val="0000" w:firstRow="0" w:lastRow="0" w:firstColumn="0" w:lastColumn="0" w:noHBand="0" w:noVBand="0"/>
      </w:tblPr>
      <w:tblGrid>
        <w:gridCol w:w="5332"/>
        <w:gridCol w:w="917"/>
        <w:gridCol w:w="1123"/>
        <w:gridCol w:w="818"/>
        <w:gridCol w:w="882"/>
      </w:tblGrid>
      <w:tr w:rsidR="00733CB1" w:rsidRPr="003C0ACD" w14:paraId="11F21B17" w14:textId="77777777" w:rsidTr="00AF0FDE">
        <w:tc>
          <w:tcPr>
            <w:tcW w:w="5332" w:type="dxa"/>
            <w:tcBorders>
              <w:left w:val="nil"/>
              <w:right w:val="nil"/>
            </w:tcBorders>
            <w:shd w:val="clear" w:color="auto" w:fill="auto"/>
          </w:tcPr>
          <w:p w14:paraId="3045A2F8" w14:textId="77777777" w:rsidR="00733CB1" w:rsidRPr="00B2361E" w:rsidRDefault="00733CB1" w:rsidP="00AF0FDE">
            <w:pPr>
              <w:keepNext/>
              <w:keepLines/>
              <w:kinsoku w:val="0"/>
              <w:overflowPunct w:val="0"/>
              <w:autoSpaceDE w:val="0"/>
              <w:autoSpaceDN w:val="0"/>
              <w:adjustRightInd w:val="0"/>
              <w:spacing w:after="0" w:line="240" w:lineRule="auto"/>
              <w:ind w:hanging="1"/>
              <w:rPr>
                <w:rFonts w:cstheme="minorHAnsi"/>
                <w:b/>
                <w:bCs/>
                <w:color w:val="706F6F"/>
                <w:spacing w:val="-4"/>
                <w:w w:val="105"/>
                <w:sz w:val="14"/>
                <w:szCs w:val="14"/>
              </w:rPr>
            </w:pPr>
          </w:p>
        </w:tc>
        <w:tc>
          <w:tcPr>
            <w:tcW w:w="3740" w:type="dxa"/>
            <w:gridSpan w:val="4"/>
            <w:tcBorders>
              <w:left w:val="nil"/>
              <w:bottom w:val="single" w:sz="2" w:space="0" w:color="93B7BB"/>
              <w:right w:val="nil"/>
            </w:tcBorders>
            <w:shd w:val="clear" w:color="auto" w:fill="auto"/>
            <w:vAlign w:val="bottom"/>
          </w:tcPr>
          <w:p w14:paraId="7A89C25B" w14:textId="77777777" w:rsidR="00733CB1" w:rsidRPr="00B2361E" w:rsidRDefault="00733CB1" w:rsidP="00AF0FDE">
            <w:pPr>
              <w:pStyle w:val="Tableheading"/>
              <w:keepNext/>
              <w:keepLines/>
              <w:spacing w:before="0" w:after="0"/>
              <w:jc w:val="center"/>
              <w:rPr>
                <w:b/>
                <w:bCs/>
              </w:rPr>
            </w:pPr>
            <w:r>
              <w:t xml:space="preserve">Year </w:t>
            </w:r>
            <w:r w:rsidRPr="00587138">
              <w:t>ended 3</w:t>
            </w:r>
            <w:r>
              <w:t>1</w:t>
            </w:r>
            <w:r w:rsidRPr="00587138">
              <w:t xml:space="preserve"> </w:t>
            </w:r>
            <w:r>
              <w:t>December</w:t>
            </w:r>
          </w:p>
        </w:tc>
      </w:tr>
      <w:tr w:rsidR="00733CB1" w:rsidRPr="003C0ACD" w14:paraId="1CE40546" w14:textId="77777777" w:rsidTr="00AF0FDE">
        <w:tc>
          <w:tcPr>
            <w:tcW w:w="5332" w:type="dxa"/>
            <w:tcBorders>
              <w:left w:val="nil"/>
              <w:bottom w:val="single" w:sz="4" w:space="0" w:color="93B7BB"/>
              <w:right w:val="nil"/>
            </w:tcBorders>
            <w:shd w:val="clear" w:color="auto" w:fill="auto"/>
            <w:vAlign w:val="bottom"/>
          </w:tcPr>
          <w:p w14:paraId="100608EA" w14:textId="77777777" w:rsidR="00733CB1" w:rsidRPr="00733CB1" w:rsidRDefault="00733CB1" w:rsidP="00AF0FDE">
            <w:pPr>
              <w:pStyle w:val="Tableheading"/>
              <w:keepNext/>
              <w:keepLines/>
              <w:spacing w:before="0" w:after="0"/>
              <w:rPr>
                <w:bCs/>
              </w:rPr>
            </w:pPr>
            <w:r w:rsidRPr="00733CB1">
              <w:rPr>
                <w:bCs/>
              </w:rPr>
              <w:t>(£ million)</w:t>
            </w:r>
          </w:p>
        </w:tc>
        <w:tc>
          <w:tcPr>
            <w:tcW w:w="917" w:type="dxa"/>
            <w:tcBorders>
              <w:top w:val="single" w:sz="4" w:space="0" w:color="93B7BB"/>
              <w:left w:val="nil"/>
              <w:bottom w:val="single" w:sz="4" w:space="0" w:color="93B7BB"/>
              <w:right w:val="nil"/>
            </w:tcBorders>
            <w:shd w:val="clear" w:color="auto" w:fill="auto"/>
            <w:vAlign w:val="bottom"/>
          </w:tcPr>
          <w:p w14:paraId="5290BE64" w14:textId="77777777" w:rsidR="00733CB1" w:rsidRPr="00B2361E" w:rsidRDefault="00733CB1" w:rsidP="00AF0FDE">
            <w:pPr>
              <w:pStyle w:val="Tableheading"/>
              <w:keepNext/>
              <w:keepLines/>
              <w:spacing w:before="0" w:after="0"/>
              <w:jc w:val="right"/>
              <w:rPr>
                <w:b/>
                <w:bCs/>
                <w:spacing w:val="-2"/>
              </w:rPr>
            </w:pPr>
            <w:r w:rsidRPr="00B2361E">
              <w:rPr>
                <w:b/>
                <w:bCs/>
                <w:spacing w:val="-1"/>
              </w:rPr>
              <w:t>201</w:t>
            </w:r>
            <w:r>
              <w:rPr>
                <w:b/>
                <w:bCs/>
                <w:spacing w:val="-1"/>
              </w:rPr>
              <w:t>5</w:t>
            </w:r>
          </w:p>
        </w:tc>
        <w:tc>
          <w:tcPr>
            <w:tcW w:w="1123" w:type="dxa"/>
            <w:tcBorders>
              <w:top w:val="single" w:sz="4" w:space="0" w:color="93B7BB"/>
              <w:left w:val="nil"/>
              <w:bottom w:val="single" w:sz="4" w:space="0" w:color="93B7BB"/>
              <w:right w:val="nil"/>
            </w:tcBorders>
            <w:shd w:val="clear" w:color="auto" w:fill="auto"/>
            <w:vAlign w:val="bottom"/>
          </w:tcPr>
          <w:p w14:paraId="15E4E3D0" w14:textId="77777777" w:rsidR="00733CB1" w:rsidRPr="00B2361E" w:rsidRDefault="00733CB1" w:rsidP="00AF0FDE">
            <w:pPr>
              <w:pStyle w:val="Tableheading"/>
              <w:keepNext/>
              <w:keepLines/>
              <w:spacing w:before="0" w:after="0"/>
              <w:jc w:val="right"/>
              <w:rPr>
                <w:spacing w:val="-2"/>
              </w:rPr>
            </w:pPr>
            <w:r w:rsidRPr="00B2361E">
              <w:t>201</w:t>
            </w:r>
            <w:r>
              <w:t>4</w:t>
            </w:r>
          </w:p>
        </w:tc>
        <w:tc>
          <w:tcPr>
            <w:tcW w:w="818" w:type="dxa"/>
            <w:tcBorders>
              <w:top w:val="single" w:sz="4" w:space="0" w:color="93B7BB"/>
              <w:left w:val="nil"/>
              <w:bottom w:val="single" w:sz="4" w:space="0" w:color="93B7BB"/>
              <w:right w:val="nil"/>
            </w:tcBorders>
            <w:shd w:val="clear" w:color="auto" w:fill="auto"/>
            <w:vAlign w:val="bottom"/>
          </w:tcPr>
          <w:p w14:paraId="0904621B" w14:textId="77777777" w:rsidR="00733CB1" w:rsidRDefault="00733CB1" w:rsidP="00AF0FDE">
            <w:pPr>
              <w:pStyle w:val="Tableheading"/>
              <w:keepNext/>
              <w:keepLines/>
              <w:spacing w:before="0" w:after="0"/>
              <w:jc w:val="right"/>
              <w:rPr>
                <w:spacing w:val="-5"/>
              </w:rPr>
            </w:pPr>
            <w:r w:rsidRPr="00B2361E">
              <w:rPr>
                <w:spacing w:val="-2"/>
              </w:rPr>
              <w:t>Varianc</w:t>
            </w:r>
            <w:r w:rsidRPr="00B2361E">
              <w:t>e</w:t>
            </w:r>
            <w:r w:rsidRPr="00B2361E">
              <w:rPr>
                <w:spacing w:val="-5"/>
              </w:rPr>
              <w:t xml:space="preserve"> </w:t>
            </w:r>
          </w:p>
          <w:p w14:paraId="08345A7D" w14:textId="77777777" w:rsidR="00733CB1" w:rsidRPr="00B2361E" w:rsidRDefault="00733CB1" w:rsidP="00AF0FDE">
            <w:pPr>
              <w:pStyle w:val="Tableheading"/>
              <w:keepNext/>
              <w:keepLines/>
              <w:spacing w:before="0" w:after="0"/>
              <w:jc w:val="right"/>
              <w:rPr>
                <w:spacing w:val="-1"/>
              </w:rPr>
            </w:pPr>
            <w:r w:rsidRPr="00B2361E">
              <w:t>%</w:t>
            </w:r>
          </w:p>
        </w:tc>
        <w:tc>
          <w:tcPr>
            <w:tcW w:w="882" w:type="dxa"/>
            <w:tcBorders>
              <w:top w:val="single" w:sz="4" w:space="0" w:color="93B7BB"/>
              <w:left w:val="nil"/>
              <w:bottom w:val="single" w:sz="4" w:space="0" w:color="93B7BB"/>
              <w:right w:val="nil"/>
            </w:tcBorders>
            <w:shd w:val="clear" w:color="auto" w:fill="auto"/>
            <w:vAlign w:val="bottom"/>
          </w:tcPr>
          <w:p w14:paraId="5B80151F" w14:textId="77777777" w:rsidR="00733CB1" w:rsidRDefault="00733CB1" w:rsidP="00AF0FDE">
            <w:pPr>
              <w:pStyle w:val="Tableheading"/>
              <w:keepNext/>
              <w:keepLines/>
              <w:spacing w:before="0" w:after="0"/>
              <w:jc w:val="right"/>
              <w:rPr>
                <w:spacing w:val="-8"/>
              </w:rPr>
            </w:pPr>
            <w:r w:rsidRPr="00B2361E">
              <w:rPr>
                <w:spacing w:val="-2"/>
              </w:rPr>
              <w:t>Varianc</w:t>
            </w:r>
            <w:r w:rsidRPr="00B2361E">
              <w:t>e</w:t>
            </w:r>
            <w:r w:rsidRPr="00B2361E">
              <w:rPr>
                <w:spacing w:val="21"/>
                <w:w w:val="101"/>
              </w:rPr>
              <w:t xml:space="preserve"> </w:t>
            </w:r>
            <w:r w:rsidRPr="00B2361E">
              <w:t>e</w:t>
            </w:r>
            <w:r w:rsidRPr="00B2361E">
              <w:rPr>
                <w:spacing w:val="-2"/>
              </w:rPr>
              <w:t>xcluding</w:t>
            </w:r>
            <w:r w:rsidRPr="00B2361E">
              <w:rPr>
                <w:spacing w:val="25"/>
                <w:w w:val="114"/>
              </w:rPr>
              <w:t xml:space="preserve"> </w:t>
            </w:r>
            <w:r w:rsidRPr="00B2361E">
              <w:rPr>
                <w:spacing w:val="-2"/>
              </w:rPr>
              <w:t>acquisiti</w:t>
            </w:r>
            <w:r w:rsidRPr="00B2361E">
              <w:t>o</w:t>
            </w:r>
            <w:r w:rsidRPr="00B2361E">
              <w:rPr>
                <w:spacing w:val="-2"/>
              </w:rPr>
              <w:t>n</w:t>
            </w:r>
            <w:r>
              <w:rPr>
                <w:spacing w:val="-2"/>
              </w:rPr>
              <w:t>s / dispo</w:t>
            </w:r>
            <w:r w:rsidRPr="00B2361E">
              <w:rPr>
                <w:spacing w:val="-2"/>
              </w:rPr>
              <w:t>s</w:t>
            </w:r>
            <w:r>
              <w:rPr>
                <w:spacing w:val="-2"/>
              </w:rPr>
              <w:t>als</w:t>
            </w:r>
            <w:r w:rsidRPr="00B2361E">
              <w:rPr>
                <w:spacing w:val="-8"/>
              </w:rPr>
              <w:t xml:space="preserve"> </w:t>
            </w:r>
          </w:p>
          <w:p w14:paraId="5BB72A71" w14:textId="77777777" w:rsidR="00733CB1" w:rsidRPr="00B2361E" w:rsidRDefault="00733CB1" w:rsidP="00AF0FDE">
            <w:pPr>
              <w:pStyle w:val="Tableheading"/>
              <w:keepNext/>
              <w:keepLines/>
              <w:spacing w:before="0" w:after="0"/>
              <w:jc w:val="right"/>
            </w:pPr>
            <w:r w:rsidRPr="00B2361E">
              <w:rPr>
                <w:spacing w:val="-1"/>
              </w:rPr>
              <w:t>%</w:t>
            </w:r>
            <w:r>
              <w:rPr>
                <w:spacing w:val="-1"/>
              </w:rPr>
              <w:t xml:space="preserve"> (1)</w:t>
            </w:r>
          </w:p>
        </w:tc>
      </w:tr>
      <w:tr w:rsidR="00733CB1" w:rsidRPr="00716EDB" w14:paraId="16E9AD56" w14:textId="77777777" w:rsidTr="00733CB1">
        <w:tc>
          <w:tcPr>
            <w:tcW w:w="5332" w:type="dxa"/>
            <w:tcBorders>
              <w:top w:val="single" w:sz="4" w:space="0" w:color="93B7BB"/>
              <w:left w:val="nil"/>
              <w:right w:val="nil"/>
            </w:tcBorders>
          </w:tcPr>
          <w:p w14:paraId="72AB0832" w14:textId="77777777" w:rsidR="00733CB1" w:rsidRPr="00B2361E" w:rsidRDefault="00733CB1" w:rsidP="00AF0FDE">
            <w:pPr>
              <w:pStyle w:val="Tabletext"/>
              <w:keepNext/>
              <w:keepLines/>
              <w:rPr>
                <w:b/>
                <w:bCs/>
                <w:color w:val="000000"/>
                <w:spacing w:val="0"/>
                <w:w w:val="100"/>
              </w:rPr>
            </w:pPr>
            <w:r w:rsidRPr="00B2361E">
              <w:rPr>
                <w:b/>
                <w:bCs/>
              </w:rPr>
              <w:t>Re</w:t>
            </w:r>
            <w:r w:rsidRPr="00B2361E">
              <w:rPr>
                <w:b/>
                <w:bCs/>
                <w:spacing w:val="-3"/>
              </w:rPr>
              <w:t>v</w:t>
            </w:r>
            <w:r w:rsidRPr="00B2361E">
              <w:rPr>
                <w:b/>
                <w:bCs/>
              </w:rPr>
              <w:t>e</w:t>
            </w:r>
            <w:r w:rsidRPr="00B2361E">
              <w:rPr>
                <w:b/>
                <w:bCs/>
                <w:spacing w:val="-3"/>
              </w:rPr>
              <w:t>nu</w:t>
            </w:r>
            <w:r w:rsidRPr="00B2361E">
              <w:rPr>
                <w:b/>
                <w:bCs/>
              </w:rPr>
              <w:t>e</w:t>
            </w:r>
          </w:p>
        </w:tc>
        <w:tc>
          <w:tcPr>
            <w:tcW w:w="917" w:type="dxa"/>
            <w:tcBorders>
              <w:top w:val="single" w:sz="4" w:space="0" w:color="93B7BB"/>
              <w:left w:val="nil"/>
              <w:right w:val="nil"/>
            </w:tcBorders>
            <w:shd w:val="clear" w:color="auto" w:fill="EFF4F5"/>
            <w:vAlign w:val="bottom"/>
          </w:tcPr>
          <w:p w14:paraId="26666817" w14:textId="77777777" w:rsidR="00733CB1" w:rsidRPr="00B2361E" w:rsidRDefault="00733CB1" w:rsidP="00AF0FDE">
            <w:pPr>
              <w:pStyle w:val="Tabletext"/>
              <w:keepNext/>
              <w:keepLines/>
              <w:jc w:val="right"/>
              <w:rPr>
                <w:b/>
                <w:bCs/>
              </w:rPr>
            </w:pPr>
            <w:r>
              <w:rPr>
                <w:b/>
                <w:bCs/>
              </w:rPr>
              <w:t>884.8</w:t>
            </w:r>
          </w:p>
        </w:tc>
        <w:tc>
          <w:tcPr>
            <w:tcW w:w="1123" w:type="dxa"/>
            <w:tcBorders>
              <w:top w:val="single" w:sz="4" w:space="0" w:color="93B7BB"/>
              <w:left w:val="nil"/>
              <w:right w:val="nil"/>
            </w:tcBorders>
            <w:vAlign w:val="bottom"/>
          </w:tcPr>
          <w:p w14:paraId="41B412FF" w14:textId="77777777" w:rsidR="00733CB1" w:rsidRPr="00B2361E" w:rsidRDefault="00733CB1" w:rsidP="00AF0FDE">
            <w:pPr>
              <w:pStyle w:val="Tabletext"/>
              <w:keepNext/>
              <w:keepLines/>
              <w:jc w:val="right"/>
              <w:rPr>
                <w:b/>
                <w:bCs/>
                <w:color w:val="000000"/>
              </w:rPr>
            </w:pPr>
            <w:r>
              <w:rPr>
                <w:b/>
                <w:bCs/>
              </w:rPr>
              <w:t>856</w:t>
            </w:r>
            <w:r w:rsidRPr="00B2361E">
              <w:rPr>
                <w:b/>
                <w:bCs/>
                <w:spacing w:val="-3"/>
              </w:rPr>
              <w:t>.</w:t>
            </w:r>
            <w:r>
              <w:rPr>
                <w:b/>
                <w:bCs/>
                <w:spacing w:val="-3"/>
              </w:rPr>
              <w:t>0</w:t>
            </w:r>
          </w:p>
        </w:tc>
        <w:tc>
          <w:tcPr>
            <w:tcW w:w="818" w:type="dxa"/>
            <w:tcBorders>
              <w:top w:val="single" w:sz="4" w:space="0" w:color="93B7BB"/>
              <w:left w:val="nil"/>
              <w:right w:val="nil"/>
            </w:tcBorders>
            <w:vAlign w:val="bottom"/>
          </w:tcPr>
          <w:p w14:paraId="344995E8" w14:textId="77777777" w:rsidR="00733CB1" w:rsidRPr="00277C7F" w:rsidRDefault="00733CB1" w:rsidP="00AF0FDE">
            <w:pPr>
              <w:pStyle w:val="Tabletext"/>
              <w:keepNext/>
              <w:keepLines/>
              <w:jc w:val="right"/>
              <w:rPr>
                <w:b/>
                <w:bCs/>
                <w:color w:val="000000"/>
              </w:rPr>
            </w:pPr>
            <w:r w:rsidRPr="00277C7F">
              <w:rPr>
                <w:b/>
                <w:bCs/>
                <w:spacing w:val="-1"/>
              </w:rPr>
              <w:t>3</w:t>
            </w:r>
            <w:r w:rsidRPr="00277C7F">
              <w:rPr>
                <w:b/>
                <w:bCs/>
              </w:rPr>
              <w:t>.4</w:t>
            </w:r>
            <w:r w:rsidRPr="00277C7F">
              <w:rPr>
                <w:b/>
                <w:bCs/>
                <w:spacing w:val="-1"/>
              </w:rPr>
              <w:t>%</w:t>
            </w:r>
          </w:p>
        </w:tc>
        <w:tc>
          <w:tcPr>
            <w:tcW w:w="882" w:type="dxa"/>
            <w:tcBorders>
              <w:top w:val="single" w:sz="4" w:space="0" w:color="93B7BB"/>
              <w:left w:val="nil"/>
              <w:right w:val="nil"/>
            </w:tcBorders>
            <w:vAlign w:val="bottom"/>
          </w:tcPr>
          <w:p w14:paraId="0608B3E3" w14:textId="77777777" w:rsidR="00733CB1" w:rsidRPr="00277C7F" w:rsidRDefault="00733CB1" w:rsidP="00AF0FDE">
            <w:pPr>
              <w:pStyle w:val="Tabletext"/>
              <w:keepNext/>
              <w:keepLines/>
              <w:jc w:val="right"/>
              <w:rPr>
                <w:b/>
                <w:bCs/>
                <w:color w:val="000000"/>
              </w:rPr>
            </w:pPr>
            <w:r w:rsidRPr="00277C7F">
              <w:rPr>
                <w:b/>
                <w:bCs/>
                <w:spacing w:val="-1"/>
              </w:rPr>
              <w:t>2</w:t>
            </w:r>
            <w:r w:rsidRPr="00277C7F">
              <w:rPr>
                <w:b/>
                <w:bCs/>
              </w:rPr>
              <w:t>.5</w:t>
            </w:r>
            <w:r w:rsidRPr="00277C7F">
              <w:rPr>
                <w:b/>
                <w:bCs/>
                <w:spacing w:val="-3"/>
              </w:rPr>
              <w:t>%</w:t>
            </w:r>
          </w:p>
        </w:tc>
      </w:tr>
      <w:tr w:rsidR="00733CB1" w:rsidRPr="00716EDB" w14:paraId="16F3197C" w14:textId="77777777" w:rsidTr="00733CB1">
        <w:tc>
          <w:tcPr>
            <w:tcW w:w="5332" w:type="dxa"/>
            <w:tcBorders>
              <w:left w:val="nil"/>
              <w:right w:val="nil"/>
            </w:tcBorders>
          </w:tcPr>
          <w:p w14:paraId="1DAB739E" w14:textId="5A8AC69A" w:rsidR="00733CB1" w:rsidRPr="00B2361E" w:rsidRDefault="00733CB1" w:rsidP="00AF0FDE">
            <w:pPr>
              <w:pStyle w:val="Tabletext"/>
              <w:keepNext/>
              <w:keepLines/>
              <w:rPr>
                <w:color w:val="auto"/>
              </w:rPr>
            </w:pPr>
            <w:r w:rsidRPr="00587138">
              <w:rPr>
                <w:lang w:val="en-US" w:eastAsia="nl-NL"/>
              </w:rPr>
              <w:t>Operating profit before exceptional items</w:t>
            </w:r>
          </w:p>
        </w:tc>
        <w:tc>
          <w:tcPr>
            <w:tcW w:w="917" w:type="dxa"/>
            <w:tcBorders>
              <w:left w:val="nil"/>
              <w:right w:val="nil"/>
            </w:tcBorders>
            <w:shd w:val="clear" w:color="auto" w:fill="EFF4F5"/>
            <w:vAlign w:val="bottom"/>
          </w:tcPr>
          <w:p w14:paraId="557F30CA" w14:textId="12DD2720" w:rsidR="00733CB1" w:rsidRPr="00E036BE" w:rsidRDefault="00733CB1" w:rsidP="00AF0FDE">
            <w:pPr>
              <w:pStyle w:val="Tabletext"/>
              <w:keepNext/>
              <w:keepLines/>
              <w:jc w:val="right"/>
              <w:rPr>
                <w:b/>
                <w:bCs/>
              </w:rPr>
            </w:pPr>
            <w:r>
              <w:rPr>
                <w:bCs/>
                <w:u w:color="76923C"/>
              </w:rPr>
              <w:t>111.2</w:t>
            </w:r>
          </w:p>
        </w:tc>
        <w:tc>
          <w:tcPr>
            <w:tcW w:w="1123" w:type="dxa"/>
            <w:tcBorders>
              <w:left w:val="nil"/>
              <w:right w:val="nil"/>
            </w:tcBorders>
            <w:vAlign w:val="bottom"/>
          </w:tcPr>
          <w:p w14:paraId="0B7F9EA9" w14:textId="3891CF29" w:rsidR="00733CB1" w:rsidRPr="00F87231" w:rsidRDefault="00733CB1" w:rsidP="00AF0FDE">
            <w:pPr>
              <w:pStyle w:val="Tabletext"/>
              <w:keepNext/>
              <w:keepLines/>
              <w:jc w:val="right"/>
            </w:pPr>
            <w:r w:rsidRPr="00587138">
              <w:rPr>
                <w:bCs/>
                <w:u w:color="76923C"/>
              </w:rPr>
              <w:t>11</w:t>
            </w:r>
            <w:r>
              <w:rPr>
                <w:bCs/>
                <w:u w:color="76923C"/>
              </w:rPr>
              <w:t>4</w:t>
            </w:r>
            <w:r w:rsidRPr="00587138">
              <w:rPr>
                <w:bCs/>
                <w:u w:color="76923C"/>
              </w:rPr>
              <w:t>.1</w:t>
            </w:r>
          </w:p>
        </w:tc>
        <w:tc>
          <w:tcPr>
            <w:tcW w:w="818" w:type="dxa"/>
            <w:tcBorders>
              <w:left w:val="nil"/>
              <w:right w:val="nil"/>
            </w:tcBorders>
            <w:vAlign w:val="bottom"/>
          </w:tcPr>
          <w:p w14:paraId="39F674BD" w14:textId="4270FDB9" w:rsidR="00733CB1" w:rsidRPr="00277C7F" w:rsidRDefault="00733CB1" w:rsidP="00AF0FDE">
            <w:pPr>
              <w:pStyle w:val="Tabletext"/>
              <w:keepNext/>
              <w:keepLines/>
              <w:jc w:val="right"/>
              <w:rPr>
                <w:color w:val="auto"/>
              </w:rPr>
            </w:pPr>
            <w:r>
              <w:rPr>
                <w:bCs/>
                <w:u w:color="76923C"/>
              </w:rPr>
              <w:t>(2</w:t>
            </w:r>
            <w:r w:rsidRPr="00ED44A0">
              <w:rPr>
                <w:bCs/>
                <w:u w:color="76923C"/>
              </w:rPr>
              <w:t>.</w:t>
            </w:r>
            <w:r>
              <w:rPr>
                <w:bCs/>
                <w:u w:color="76923C"/>
              </w:rPr>
              <w:t>5</w:t>
            </w:r>
            <w:r w:rsidRPr="00ED44A0">
              <w:rPr>
                <w:bCs/>
                <w:u w:color="76923C"/>
              </w:rPr>
              <w:t>%</w:t>
            </w:r>
            <w:r>
              <w:rPr>
                <w:bCs/>
                <w:u w:color="76923C"/>
              </w:rPr>
              <w:t>)</w:t>
            </w:r>
          </w:p>
        </w:tc>
        <w:tc>
          <w:tcPr>
            <w:tcW w:w="882" w:type="dxa"/>
            <w:tcBorders>
              <w:left w:val="nil"/>
              <w:right w:val="nil"/>
            </w:tcBorders>
            <w:vAlign w:val="bottom"/>
          </w:tcPr>
          <w:p w14:paraId="3EE94B1B" w14:textId="549CA6DF" w:rsidR="00733CB1" w:rsidRPr="00277C7F" w:rsidRDefault="00733CB1" w:rsidP="00AF0FDE">
            <w:pPr>
              <w:pStyle w:val="Tabletext"/>
              <w:keepNext/>
              <w:keepLines/>
              <w:jc w:val="right"/>
              <w:rPr>
                <w:color w:val="auto"/>
              </w:rPr>
            </w:pPr>
            <w:r>
              <w:rPr>
                <w:bCs/>
                <w:u w:color="76923C"/>
              </w:rPr>
              <w:t>(5</w:t>
            </w:r>
            <w:r w:rsidRPr="00ED44A0">
              <w:rPr>
                <w:bCs/>
                <w:u w:color="76923C"/>
              </w:rPr>
              <w:t>.</w:t>
            </w:r>
            <w:r>
              <w:rPr>
                <w:bCs/>
                <w:u w:color="76923C"/>
              </w:rPr>
              <w:t>5</w:t>
            </w:r>
            <w:r w:rsidRPr="00ED44A0">
              <w:rPr>
                <w:bCs/>
                <w:u w:color="76923C"/>
              </w:rPr>
              <w:t>%</w:t>
            </w:r>
            <w:r>
              <w:rPr>
                <w:bCs/>
                <w:u w:color="76923C"/>
              </w:rPr>
              <w:t>)</w:t>
            </w:r>
          </w:p>
        </w:tc>
      </w:tr>
      <w:tr w:rsidR="00733CB1" w:rsidRPr="00716EDB" w14:paraId="2682A572" w14:textId="77777777" w:rsidTr="00733CB1">
        <w:tc>
          <w:tcPr>
            <w:tcW w:w="5332" w:type="dxa"/>
            <w:tcBorders>
              <w:left w:val="nil"/>
              <w:bottom w:val="nil"/>
              <w:right w:val="nil"/>
            </w:tcBorders>
          </w:tcPr>
          <w:p w14:paraId="07257940" w14:textId="2ACEA4F8" w:rsidR="00733CB1" w:rsidRPr="00B2361E" w:rsidRDefault="00733CB1" w:rsidP="00AF0FDE">
            <w:pPr>
              <w:pStyle w:val="Tabletext"/>
              <w:keepNext/>
              <w:keepLines/>
              <w:rPr>
                <w:color w:val="auto"/>
              </w:rPr>
            </w:pPr>
            <w:r w:rsidRPr="00587138">
              <w:rPr>
                <w:lang w:val="en-US" w:eastAsia="nl-NL"/>
              </w:rPr>
              <w:t>Exceptional items</w:t>
            </w:r>
          </w:p>
        </w:tc>
        <w:tc>
          <w:tcPr>
            <w:tcW w:w="917" w:type="dxa"/>
            <w:tcBorders>
              <w:left w:val="nil"/>
              <w:bottom w:val="nil"/>
              <w:right w:val="nil"/>
            </w:tcBorders>
            <w:shd w:val="clear" w:color="auto" w:fill="EFF4F5"/>
            <w:vAlign w:val="bottom"/>
          </w:tcPr>
          <w:p w14:paraId="43A93F80" w14:textId="473E5C92" w:rsidR="00733CB1" w:rsidRPr="00E036BE" w:rsidRDefault="00733CB1" w:rsidP="00AF0FDE">
            <w:pPr>
              <w:pStyle w:val="Tabletext"/>
              <w:keepNext/>
              <w:keepLines/>
              <w:jc w:val="right"/>
              <w:rPr>
                <w:b/>
                <w:bCs/>
              </w:rPr>
            </w:pPr>
            <w:r>
              <w:rPr>
                <w:bCs/>
                <w:u w:color="76923C"/>
              </w:rPr>
              <w:t>(15.7)</w:t>
            </w:r>
          </w:p>
        </w:tc>
        <w:tc>
          <w:tcPr>
            <w:tcW w:w="1123" w:type="dxa"/>
            <w:tcBorders>
              <w:left w:val="nil"/>
              <w:bottom w:val="nil"/>
              <w:right w:val="nil"/>
            </w:tcBorders>
            <w:vAlign w:val="bottom"/>
          </w:tcPr>
          <w:p w14:paraId="4EF5F4A1" w14:textId="3C0B1A41" w:rsidR="00733CB1" w:rsidRPr="00B2361E" w:rsidRDefault="00733CB1" w:rsidP="00AF0FDE">
            <w:pPr>
              <w:pStyle w:val="Tabletext"/>
              <w:keepNext/>
              <w:keepLines/>
              <w:jc w:val="right"/>
              <w:rPr>
                <w:color w:val="auto"/>
              </w:rPr>
            </w:pPr>
            <w:r w:rsidRPr="00587138">
              <w:rPr>
                <w:bCs/>
                <w:u w:color="76923C"/>
              </w:rPr>
              <w:t>(</w:t>
            </w:r>
            <w:r>
              <w:rPr>
                <w:bCs/>
                <w:u w:color="76923C"/>
              </w:rPr>
              <w:t>54</w:t>
            </w:r>
            <w:r w:rsidRPr="00587138">
              <w:rPr>
                <w:bCs/>
                <w:u w:color="76923C"/>
              </w:rPr>
              <w:t>.</w:t>
            </w:r>
            <w:r>
              <w:rPr>
                <w:bCs/>
                <w:u w:color="76923C"/>
              </w:rPr>
              <w:t>0</w:t>
            </w:r>
            <w:r w:rsidRPr="00587138">
              <w:rPr>
                <w:bCs/>
                <w:u w:color="76923C"/>
              </w:rPr>
              <w:t>)</w:t>
            </w:r>
          </w:p>
        </w:tc>
        <w:tc>
          <w:tcPr>
            <w:tcW w:w="818" w:type="dxa"/>
            <w:tcBorders>
              <w:left w:val="nil"/>
              <w:bottom w:val="nil"/>
              <w:right w:val="nil"/>
            </w:tcBorders>
            <w:vAlign w:val="bottom"/>
          </w:tcPr>
          <w:p w14:paraId="4CB6AA3E" w14:textId="10FB16F1" w:rsidR="00733CB1" w:rsidRPr="00277C7F" w:rsidRDefault="00733CB1" w:rsidP="00AF0FDE">
            <w:pPr>
              <w:pStyle w:val="Tabletext"/>
              <w:keepNext/>
              <w:keepLines/>
              <w:jc w:val="right"/>
              <w:rPr>
                <w:color w:val="auto"/>
              </w:rPr>
            </w:pPr>
          </w:p>
        </w:tc>
        <w:tc>
          <w:tcPr>
            <w:tcW w:w="882" w:type="dxa"/>
            <w:tcBorders>
              <w:left w:val="nil"/>
              <w:bottom w:val="nil"/>
              <w:right w:val="nil"/>
            </w:tcBorders>
            <w:vAlign w:val="bottom"/>
          </w:tcPr>
          <w:p w14:paraId="16ADD9A1" w14:textId="0BABE18A" w:rsidR="00733CB1" w:rsidRPr="00277C7F" w:rsidRDefault="00733CB1" w:rsidP="00AF0FDE">
            <w:pPr>
              <w:pStyle w:val="Tabletext"/>
              <w:keepNext/>
              <w:keepLines/>
              <w:jc w:val="right"/>
              <w:rPr>
                <w:color w:val="auto"/>
              </w:rPr>
            </w:pPr>
          </w:p>
        </w:tc>
      </w:tr>
      <w:tr w:rsidR="00733CB1" w:rsidRPr="00716EDB" w14:paraId="21FA9184" w14:textId="77777777" w:rsidTr="00733CB1">
        <w:tc>
          <w:tcPr>
            <w:tcW w:w="5332" w:type="dxa"/>
            <w:tcBorders>
              <w:top w:val="nil"/>
              <w:left w:val="nil"/>
              <w:right w:val="nil"/>
            </w:tcBorders>
          </w:tcPr>
          <w:p w14:paraId="7D11C37A" w14:textId="7070F9DF" w:rsidR="00733CB1" w:rsidRPr="00B2361E" w:rsidRDefault="00733CB1" w:rsidP="00AF0FDE">
            <w:pPr>
              <w:pStyle w:val="Tabletext"/>
              <w:keepNext/>
              <w:keepLines/>
              <w:rPr>
                <w:color w:val="auto"/>
              </w:rPr>
            </w:pPr>
            <w:r w:rsidRPr="00587138">
              <w:rPr>
                <w:lang w:val="en-US" w:eastAsia="nl-NL"/>
              </w:rPr>
              <w:t>Operating profit</w:t>
            </w:r>
          </w:p>
        </w:tc>
        <w:tc>
          <w:tcPr>
            <w:tcW w:w="917" w:type="dxa"/>
            <w:tcBorders>
              <w:top w:val="nil"/>
              <w:left w:val="nil"/>
              <w:right w:val="nil"/>
            </w:tcBorders>
            <w:shd w:val="clear" w:color="auto" w:fill="EFF4F5"/>
            <w:vAlign w:val="bottom"/>
          </w:tcPr>
          <w:p w14:paraId="2D8520F3" w14:textId="56BB6F5D" w:rsidR="00733CB1" w:rsidRPr="004E69C9" w:rsidRDefault="00733CB1" w:rsidP="00AF0FDE">
            <w:pPr>
              <w:pStyle w:val="Tabletext"/>
              <w:keepNext/>
              <w:keepLines/>
              <w:jc w:val="right"/>
              <w:rPr>
                <w:b/>
                <w:bCs/>
              </w:rPr>
            </w:pPr>
            <w:r>
              <w:rPr>
                <w:bCs/>
                <w:u w:color="76923C"/>
              </w:rPr>
              <w:t>95.5</w:t>
            </w:r>
          </w:p>
        </w:tc>
        <w:tc>
          <w:tcPr>
            <w:tcW w:w="1123" w:type="dxa"/>
            <w:tcBorders>
              <w:top w:val="nil"/>
              <w:left w:val="nil"/>
              <w:right w:val="nil"/>
            </w:tcBorders>
            <w:vAlign w:val="bottom"/>
          </w:tcPr>
          <w:p w14:paraId="674DC70B" w14:textId="3973F08E" w:rsidR="00733CB1" w:rsidRPr="00B2361E" w:rsidRDefault="00733CB1" w:rsidP="00AF0FDE">
            <w:pPr>
              <w:pStyle w:val="Tabletext"/>
              <w:keepNext/>
              <w:keepLines/>
              <w:jc w:val="right"/>
              <w:rPr>
                <w:color w:val="auto"/>
              </w:rPr>
            </w:pPr>
            <w:r>
              <w:t>60</w:t>
            </w:r>
            <w:r w:rsidRPr="00587138">
              <w:t>.</w:t>
            </w:r>
            <w:r>
              <w:t>1</w:t>
            </w:r>
          </w:p>
        </w:tc>
        <w:tc>
          <w:tcPr>
            <w:tcW w:w="818" w:type="dxa"/>
            <w:tcBorders>
              <w:top w:val="nil"/>
              <w:left w:val="nil"/>
              <w:right w:val="nil"/>
            </w:tcBorders>
            <w:vAlign w:val="bottom"/>
          </w:tcPr>
          <w:p w14:paraId="2DD9D6C0" w14:textId="4B7E15D2" w:rsidR="00733CB1" w:rsidRPr="00277C7F" w:rsidRDefault="00733CB1" w:rsidP="00AF0FDE">
            <w:pPr>
              <w:pStyle w:val="Tabletext"/>
              <w:keepNext/>
              <w:keepLines/>
              <w:jc w:val="right"/>
              <w:rPr>
                <w:color w:val="auto"/>
              </w:rPr>
            </w:pPr>
            <w:r>
              <w:t>58</w:t>
            </w:r>
            <w:r w:rsidRPr="00ED44A0">
              <w:t>.</w:t>
            </w:r>
            <w:r>
              <w:t>9</w:t>
            </w:r>
            <w:r w:rsidRPr="00ED44A0">
              <w:t>%</w:t>
            </w:r>
          </w:p>
        </w:tc>
        <w:tc>
          <w:tcPr>
            <w:tcW w:w="882" w:type="dxa"/>
            <w:tcBorders>
              <w:top w:val="nil"/>
              <w:left w:val="nil"/>
              <w:right w:val="nil"/>
            </w:tcBorders>
            <w:vAlign w:val="bottom"/>
          </w:tcPr>
          <w:p w14:paraId="191050DB" w14:textId="166F384C" w:rsidR="00733CB1" w:rsidRPr="00277C7F" w:rsidRDefault="00733CB1" w:rsidP="00AF0FDE">
            <w:pPr>
              <w:pStyle w:val="Tabletext"/>
              <w:keepNext/>
              <w:keepLines/>
              <w:jc w:val="right"/>
              <w:rPr>
                <w:color w:val="auto"/>
              </w:rPr>
            </w:pPr>
            <w:r>
              <w:t>53</w:t>
            </w:r>
            <w:r w:rsidRPr="00ED44A0">
              <w:t>.</w:t>
            </w:r>
            <w:r>
              <w:t>9%</w:t>
            </w:r>
          </w:p>
        </w:tc>
      </w:tr>
      <w:tr w:rsidR="00733CB1" w:rsidRPr="00716EDB" w14:paraId="17409EF1" w14:textId="77777777" w:rsidTr="00733CB1">
        <w:tc>
          <w:tcPr>
            <w:tcW w:w="5332" w:type="dxa"/>
            <w:tcBorders>
              <w:top w:val="nil"/>
              <w:left w:val="nil"/>
              <w:right w:val="nil"/>
            </w:tcBorders>
          </w:tcPr>
          <w:p w14:paraId="24AD3206" w14:textId="2C5C2C67" w:rsidR="00733CB1" w:rsidRPr="00B2361E" w:rsidRDefault="00733CB1" w:rsidP="00733CB1">
            <w:pPr>
              <w:pStyle w:val="Tabletext"/>
              <w:keepNext/>
              <w:keepLines/>
              <w:rPr>
                <w:b/>
                <w:bCs/>
                <w:color w:val="auto"/>
              </w:rPr>
            </w:pPr>
            <w:r w:rsidRPr="00EC2CAB">
              <w:rPr>
                <w:lang w:val="en-US" w:eastAsia="nl-NL"/>
              </w:rPr>
              <w:t>Profit after tax</w:t>
            </w:r>
          </w:p>
        </w:tc>
        <w:tc>
          <w:tcPr>
            <w:tcW w:w="917" w:type="dxa"/>
            <w:tcBorders>
              <w:top w:val="nil"/>
              <w:left w:val="nil"/>
              <w:right w:val="nil"/>
            </w:tcBorders>
            <w:shd w:val="clear" w:color="auto" w:fill="EFF4F5"/>
            <w:vAlign w:val="bottom"/>
          </w:tcPr>
          <w:p w14:paraId="2364C515" w14:textId="70825EEA" w:rsidR="00733CB1" w:rsidRPr="004E69C9" w:rsidRDefault="00733CB1" w:rsidP="00AF0FDE">
            <w:pPr>
              <w:pStyle w:val="Tabletext"/>
              <w:keepNext/>
              <w:keepLines/>
              <w:jc w:val="right"/>
              <w:rPr>
                <w:b/>
                <w:bCs/>
              </w:rPr>
            </w:pPr>
            <w:r>
              <w:rPr>
                <w:bCs/>
                <w:u w:color="76923C"/>
              </w:rPr>
              <w:t>60.0</w:t>
            </w:r>
          </w:p>
        </w:tc>
        <w:tc>
          <w:tcPr>
            <w:tcW w:w="1123" w:type="dxa"/>
            <w:tcBorders>
              <w:top w:val="nil"/>
              <w:left w:val="nil"/>
              <w:right w:val="nil"/>
            </w:tcBorders>
            <w:vAlign w:val="bottom"/>
          </w:tcPr>
          <w:p w14:paraId="6BE9733E" w14:textId="55E9E354" w:rsidR="00733CB1" w:rsidRPr="00B2361E" w:rsidRDefault="00733CB1" w:rsidP="00AF0FDE">
            <w:pPr>
              <w:pStyle w:val="Tabletext"/>
              <w:keepNext/>
              <w:keepLines/>
              <w:jc w:val="right"/>
              <w:rPr>
                <w:b/>
                <w:bCs/>
                <w:color w:val="auto"/>
              </w:rPr>
            </w:pPr>
            <w:r w:rsidRPr="00EC2CAB">
              <w:t>6.0</w:t>
            </w:r>
          </w:p>
        </w:tc>
        <w:tc>
          <w:tcPr>
            <w:tcW w:w="818" w:type="dxa"/>
            <w:tcBorders>
              <w:top w:val="nil"/>
              <w:left w:val="nil"/>
              <w:right w:val="nil"/>
            </w:tcBorders>
            <w:vAlign w:val="bottom"/>
          </w:tcPr>
          <w:p w14:paraId="75F70FB3" w14:textId="39FB6B2B" w:rsidR="00733CB1" w:rsidRPr="00277C7F" w:rsidRDefault="00733CB1" w:rsidP="00AF0FDE">
            <w:pPr>
              <w:pStyle w:val="Tabletext"/>
              <w:keepNext/>
              <w:keepLines/>
              <w:jc w:val="right"/>
              <w:rPr>
                <w:b/>
                <w:bCs/>
                <w:color w:val="auto"/>
              </w:rPr>
            </w:pPr>
          </w:p>
        </w:tc>
        <w:tc>
          <w:tcPr>
            <w:tcW w:w="882" w:type="dxa"/>
            <w:tcBorders>
              <w:top w:val="nil"/>
              <w:left w:val="nil"/>
              <w:right w:val="nil"/>
            </w:tcBorders>
            <w:vAlign w:val="bottom"/>
          </w:tcPr>
          <w:p w14:paraId="222241BC" w14:textId="08C2F346" w:rsidR="00733CB1" w:rsidRPr="00277C7F" w:rsidRDefault="00733CB1" w:rsidP="00AF0FDE">
            <w:pPr>
              <w:pStyle w:val="Tabletext"/>
              <w:keepNext/>
              <w:keepLines/>
              <w:jc w:val="right"/>
              <w:rPr>
                <w:b/>
                <w:bCs/>
                <w:color w:val="auto"/>
              </w:rPr>
            </w:pPr>
          </w:p>
        </w:tc>
      </w:tr>
      <w:tr w:rsidR="00733CB1" w:rsidRPr="00716EDB" w14:paraId="002D0AAA" w14:textId="77777777" w:rsidTr="00733CB1">
        <w:tc>
          <w:tcPr>
            <w:tcW w:w="5332" w:type="dxa"/>
            <w:tcBorders>
              <w:left w:val="nil"/>
              <w:right w:val="nil"/>
            </w:tcBorders>
          </w:tcPr>
          <w:p w14:paraId="5538FBE3" w14:textId="77777777" w:rsidR="00733CB1" w:rsidRPr="00B2361E" w:rsidRDefault="00733CB1" w:rsidP="00AF0FDE">
            <w:pPr>
              <w:pStyle w:val="Tabletext"/>
            </w:pPr>
          </w:p>
        </w:tc>
        <w:tc>
          <w:tcPr>
            <w:tcW w:w="917" w:type="dxa"/>
            <w:tcBorders>
              <w:left w:val="nil"/>
              <w:right w:val="nil"/>
            </w:tcBorders>
            <w:shd w:val="clear" w:color="auto" w:fill="EFF4F5"/>
            <w:vAlign w:val="bottom"/>
          </w:tcPr>
          <w:p w14:paraId="06240823" w14:textId="77777777" w:rsidR="00733CB1" w:rsidRPr="00B2361E" w:rsidRDefault="00733CB1" w:rsidP="00AF0FDE">
            <w:pPr>
              <w:pStyle w:val="Tabletext"/>
            </w:pPr>
          </w:p>
        </w:tc>
        <w:tc>
          <w:tcPr>
            <w:tcW w:w="2823" w:type="dxa"/>
            <w:gridSpan w:val="3"/>
            <w:tcBorders>
              <w:left w:val="nil"/>
              <w:right w:val="nil"/>
            </w:tcBorders>
            <w:vAlign w:val="bottom"/>
          </w:tcPr>
          <w:p w14:paraId="2F58E3EF" w14:textId="77777777" w:rsidR="00733CB1" w:rsidRPr="00B2361E" w:rsidRDefault="00733CB1" w:rsidP="00AF0FDE">
            <w:pPr>
              <w:pStyle w:val="Tabletext"/>
            </w:pPr>
          </w:p>
        </w:tc>
      </w:tr>
      <w:tr w:rsidR="00733CB1" w:rsidRPr="00716EDB" w14:paraId="1E879341" w14:textId="77777777" w:rsidTr="00733CB1">
        <w:tc>
          <w:tcPr>
            <w:tcW w:w="5332" w:type="dxa"/>
            <w:tcBorders>
              <w:left w:val="nil"/>
              <w:bottom w:val="nil"/>
              <w:right w:val="nil"/>
            </w:tcBorders>
          </w:tcPr>
          <w:p w14:paraId="5AFED022" w14:textId="77777777" w:rsidR="00733CB1" w:rsidRPr="00B2361E" w:rsidRDefault="00733CB1" w:rsidP="00AF0FDE">
            <w:pPr>
              <w:pStyle w:val="Tabletext"/>
              <w:rPr>
                <w:b/>
                <w:bCs/>
                <w:color w:val="auto"/>
              </w:rPr>
            </w:pPr>
            <w:r w:rsidRPr="00B2361E">
              <w:rPr>
                <w:b/>
                <w:bCs/>
                <w:spacing w:val="-3"/>
              </w:rPr>
              <w:t>Adjusted</w:t>
            </w:r>
            <w:r w:rsidRPr="00B2361E">
              <w:rPr>
                <w:b/>
                <w:bCs/>
                <w:spacing w:val="-7"/>
              </w:rPr>
              <w:t xml:space="preserve"> </w:t>
            </w:r>
            <w:r w:rsidRPr="00B2361E">
              <w:rPr>
                <w:b/>
                <w:bCs/>
                <w:spacing w:val="-3"/>
              </w:rPr>
              <w:t>EBITDA</w:t>
            </w:r>
            <w:r w:rsidRPr="00B2361E">
              <w:rPr>
                <w:b/>
                <w:bCs/>
                <w:spacing w:val="-7"/>
              </w:rPr>
              <w:t xml:space="preserve"> </w:t>
            </w:r>
            <w:r w:rsidRPr="00C744E9">
              <w:rPr>
                <w:b/>
                <w:bCs/>
                <w:vertAlign w:val="superscript"/>
              </w:rPr>
              <w:t>(2)</w:t>
            </w:r>
          </w:p>
        </w:tc>
        <w:tc>
          <w:tcPr>
            <w:tcW w:w="917" w:type="dxa"/>
            <w:tcBorders>
              <w:left w:val="nil"/>
              <w:bottom w:val="nil"/>
              <w:right w:val="nil"/>
            </w:tcBorders>
            <w:shd w:val="clear" w:color="auto" w:fill="EFF4F5"/>
            <w:vAlign w:val="bottom"/>
          </w:tcPr>
          <w:p w14:paraId="7C8380EA" w14:textId="77777777" w:rsidR="00733CB1" w:rsidRPr="00F87231" w:rsidRDefault="00733CB1" w:rsidP="00AF0FDE">
            <w:pPr>
              <w:pStyle w:val="Tabletext"/>
              <w:keepNext/>
              <w:keepLines/>
              <w:jc w:val="right"/>
              <w:rPr>
                <w:b/>
                <w:bCs/>
              </w:rPr>
            </w:pPr>
            <w:r w:rsidRPr="00F87231">
              <w:rPr>
                <w:b/>
                <w:bCs/>
              </w:rPr>
              <w:t>160.1</w:t>
            </w:r>
          </w:p>
        </w:tc>
        <w:tc>
          <w:tcPr>
            <w:tcW w:w="1123" w:type="dxa"/>
            <w:tcBorders>
              <w:left w:val="nil"/>
              <w:bottom w:val="nil"/>
              <w:right w:val="nil"/>
            </w:tcBorders>
            <w:vAlign w:val="bottom"/>
          </w:tcPr>
          <w:p w14:paraId="5BF5940E" w14:textId="77777777" w:rsidR="00733CB1" w:rsidRPr="00F87231" w:rsidRDefault="00733CB1" w:rsidP="00AF0FDE">
            <w:pPr>
              <w:pStyle w:val="Tabletext"/>
              <w:keepNext/>
              <w:keepLines/>
              <w:jc w:val="right"/>
              <w:rPr>
                <w:b/>
                <w:bCs/>
              </w:rPr>
            </w:pPr>
            <w:r w:rsidRPr="00F87231">
              <w:rPr>
                <w:b/>
                <w:bCs/>
              </w:rPr>
              <w:t>156.7</w:t>
            </w:r>
          </w:p>
        </w:tc>
        <w:tc>
          <w:tcPr>
            <w:tcW w:w="818" w:type="dxa"/>
            <w:tcBorders>
              <w:left w:val="nil"/>
              <w:bottom w:val="nil"/>
              <w:right w:val="nil"/>
            </w:tcBorders>
            <w:vAlign w:val="bottom"/>
          </w:tcPr>
          <w:p w14:paraId="773DD172" w14:textId="77777777" w:rsidR="00733CB1" w:rsidRPr="00F87231" w:rsidRDefault="00733CB1" w:rsidP="00AF0FDE">
            <w:pPr>
              <w:pStyle w:val="Tabletext"/>
              <w:jc w:val="right"/>
              <w:rPr>
                <w:b/>
                <w:bCs/>
                <w:color w:val="auto"/>
              </w:rPr>
            </w:pPr>
            <w:r>
              <w:rPr>
                <w:b/>
                <w:bCs/>
              </w:rPr>
              <w:t>2</w:t>
            </w:r>
            <w:r w:rsidRPr="00F87231">
              <w:rPr>
                <w:b/>
                <w:bCs/>
              </w:rPr>
              <w:t>.</w:t>
            </w:r>
            <w:r>
              <w:rPr>
                <w:b/>
                <w:bCs/>
              </w:rPr>
              <w:t>2</w:t>
            </w:r>
            <w:r w:rsidRPr="00F87231">
              <w:rPr>
                <w:b/>
                <w:bCs/>
                <w:spacing w:val="-3"/>
              </w:rPr>
              <w:t>%</w:t>
            </w:r>
          </w:p>
        </w:tc>
        <w:tc>
          <w:tcPr>
            <w:tcW w:w="882" w:type="dxa"/>
            <w:tcBorders>
              <w:left w:val="nil"/>
              <w:bottom w:val="nil"/>
              <w:right w:val="nil"/>
            </w:tcBorders>
            <w:vAlign w:val="bottom"/>
          </w:tcPr>
          <w:p w14:paraId="199905FE" w14:textId="77777777" w:rsidR="00733CB1" w:rsidRPr="00F87231" w:rsidRDefault="00733CB1" w:rsidP="00AF0FDE">
            <w:pPr>
              <w:pStyle w:val="Tabletext"/>
              <w:jc w:val="right"/>
              <w:rPr>
                <w:b/>
                <w:bCs/>
                <w:color w:val="auto"/>
              </w:rPr>
            </w:pPr>
            <w:r>
              <w:rPr>
                <w:b/>
                <w:bCs/>
                <w:spacing w:val="-1"/>
              </w:rPr>
              <w:t>(0</w:t>
            </w:r>
            <w:r w:rsidRPr="00F87231">
              <w:rPr>
                <w:b/>
                <w:bCs/>
              </w:rPr>
              <w:t>.</w:t>
            </w:r>
            <w:r>
              <w:rPr>
                <w:b/>
                <w:bCs/>
              </w:rPr>
              <w:t>2</w:t>
            </w:r>
            <w:r w:rsidRPr="00F87231">
              <w:rPr>
                <w:b/>
                <w:bCs/>
              </w:rPr>
              <w:t>%</w:t>
            </w:r>
            <w:r>
              <w:rPr>
                <w:b/>
                <w:bCs/>
              </w:rPr>
              <w:t>)</w:t>
            </w:r>
          </w:p>
        </w:tc>
      </w:tr>
      <w:tr w:rsidR="00733CB1" w:rsidRPr="00733CB1" w14:paraId="7A0D8BE7" w14:textId="77777777" w:rsidTr="00AF0FDE">
        <w:tc>
          <w:tcPr>
            <w:tcW w:w="5332" w:type="dxa"/>
            <w:tcBorders>
              <w:top w:val="nil"/>
              <w:left w:val="nil"/>
              <w:bottom w:val="nil"/>
              <w:right w:val="nil"/>
            </w:tcBorders>
          </w:tcPr>
          <w:p w14:paraId="5228DE02" w14:textId="77777777" w:rsidR="00733CB1" w:rsidRPr="00733CB1" w:rsidRDefault="00733CB1" w:rsidP="00AF0FDE">
            <w:pPr>
              <w:pStyle w:val="Tabletext"/>
            </w:pPr>
            <w:r w:rsidRPr="00733CB1">
              <w:t>Adjusted operating profit before exceptional items</w:t>
            </w:r>
            <w:r w:rsidRPr="00733CB1">
              <w:rPr>
                <w:bCs/>
                <w:spacing w:val="-7"/>
              </w:rPr>
              <w:t xml:space="preserve"> </w:t>
            </w:r>
            <w:r w:rsidRPr="00733CB1">
              <w:rPr>
                <w:bCs/>
                <w:vertAlign w:val="superscript"/>
              </w:rPr>
              <w:t>(3)</w:t>
            </w:r>
          </w:p>
        </w:tc>
        <w:tc>
          <w:tcPr>
            <w:tcW w:w="917" w:type="dxa"/>
            <w:tcBorders>
              <w:top w:val="nil"/>
              <w:left w:val="nil"/>
              <w:bottom w:val="nil"/>
              <w:right w:val="nil"/>
            </w:tcBorders>
            <w:shd w:val="clear" w:color="auto" w:fill="EFF4F5"/>
            <w:vAlign w:val="bottom"/>
          </w:tcPr>
          <w:p w14:paraId="04D9D1D1" w14:textId="77777777" w:rsidR="00733CB1" w:rsidRPr="00733CB1" w:rsidRDefault="00733CB1" w:rsidP="00AF0FDE">
            <w:pPr>
              <w:pStyle w:val="Tabletext"/>
              <w:keepNext/>
              <w:keepLines/>
              <w:jc w:val="right"/>
              <w:rPr>
                <w:bCs/>
              </w:rPr>
            </w:pPr>
            <w:r w:rsidRPr="00733CB1">
              <w:rPr>
                <w:bCs/>
              </w:rPr>
              <w:t>111.2</w:t>
            </w:r>
          </w:p>
        </w:tc>
        <w:tc>
          <w:tcPr>
            <w:tcW w:w="1123" w:type="dxa"/>
            <w:tcBorders>
              <w:top w:val="nil"/>
              <w:left w:val="nil"/>
              <w:bottom w:val="nil"/>
              <w:right w:val="nil"/>
            </w:tcBorders>
            <w:vAlign w:val="bottom"/>
          </w:tcPr>
          <w:p w14:paraId="3352DF4C" w14:textId="77777777" w:rsidR="00733CB1" w:rsidRPr="00733CB1" w:rsidRDefault="00733CB1" w:rsidP="00AF0FDE">
            <w:pPr>
              <w:pStyle w:val="Tabletext"/>
              <w:keepNext/>
              <w:keepLines/>
              <w:jc w:val="right"/>
              <w:rPr>
                <w:spacing w:val="-5"/>
              </w:rPr>
            </w:pPr>
            <w:r w:rsidRPr="00733CB1">
              <w:rPr>
                <w:bCs/>
                <w:spacing w:val="-1"/>
              </w:rPr>
              <w:t>111</w:t>
            </w:r>
            <w:r w:rsidRPr="00733CB1">
              <w:rPr>
                <w:bCs/>
              </w:rPr>
              <w:t>.6</w:t>
            </w:r>
          </w:p>
        </w:tc>
        <w:tc>
          <w:tcPr>
            <w:tcW w:w="818" w:type="dxa"/>
            <w:tcBorders>
              <w:top w:val="nil"/>
              <w:left w:val="nil"/>
              <w:bottom w:val="nil"/>
              <w:right w:val="nil"/>
            </w:tcBorders>
            <w:vAlign w:val="bottom"/>
          </w:tcPr>
          <w:p w14:paraId="0D4D2C12" w14:textId="77777777" w:rsidR="00733CB1" w:rsidRPr="00733CB1" w:rsidRDefault="00733CB1" w:rsidP="00AF0FDE">
            <w:pPr>
              <w:pStyle w:val="Tabletext"/>
              <w:jc w:val="right"/>
              <w:rPr>
                <w:color w:val="auto"/>
              </w:rPr>
            </w:pPr>
            <w:r w:rsidRPr="00733CB1">
              <w:rPr>
                <w:bCs/>
                <w:spacing w:val="-1"/>
              </w:rPr>
              <w:t>(0</w:t>
            </w:r>
            <w:r w:rsidRPr="00733CB1">
              <w:rPr>
                <w:bCs/>
              </w:rPr>
              <w:t>.4</w:t>
            </w:r>
            <w:r w:rsidRPr="00733CB1">
              <w:rPr>
                <w:bCs/>
                <w:spacing w:val="-3"/>
              </w:rPr>
              <w:t>%)</w:t>
            </w:r>
          </w:p>
        </w:tc>
        <w:tc>
          <w:tcPr>
            <w:tcW w:w="882" w:type="dxa"/>
            <w:tcBorders>
              <w:top w:val="nil"/>
              <w:left w:val="nil"/>
              <w:bottom w:val="nil"/>
              <w:right w:val="nil"/>
            </w:tcBorders>
            <w:vAlign w:val="bottom"/>
          </w:tcPr>
          <w:p w14:paraId="64A070A0" w14:textId="77777777" w:rsidR="00733CB1" w:rsidRPr="00733CB1" w:rsidRDefault="00733CB1" w:rsidP="00AF0FDE">
            <w:pPr>
              <w:pStyle w:val="Tabletext"/>
              <w:jc w:val="right"/>
              <w:rPr>
                <w:color w:val="auto"/>
              </w:rPr>
            </w:pPr>
            <w:r w:rsidRPr="00733CB1">
              <w:rPr>
                <w:bCs/>
                <w:spacing w:val="-1"/>
              </w:rPr>
              <w:t>(3</w:t>
            </w:r>
            <w:r w:rsidRPr="00733CB1">
              <w:rPr>
                <w:bCs/>
              </w:rPr>
              <w:t>.3%)</w:t>
            </w:r>
          </w:p>
        </w:tc>
      </w:tr>
      <w:tr w:rsidR="00733CB1" w:rsidRPr="00733CB1" w14:paraId="6F9A3BAE" w14:textId="77777777" w:rsidTr="00AF0FDE">
        <w:tc>
          <w:tcPr>
            <w:tcW w:w="5332" w:type="dxa"/>
            <w:tcBorders>
              <w:top w:val="nil"/>
              <w:left w:val="nil"/>
              <w:bottom w:val="nil"/>
              <w:right w:val="nil"/>
            </w:tcBorders>
          </w:tcPr>
          <w:p w14:paraId="74BD1EB1" w14:textId="77777777" w:rsidR="00733CB1" w:rsidRPr="00733CB1" w:rsidRDefault="00733CB1" w:rsidP="00AF0FDE">
            <w:pPr>
              <w:pStyle w:val="Tabletext"/>
            </w:pPr>
            <w:r w:rsidRPr="00733CB1">
              <w:t xml:space="preserve">Pro-forma profit after tax </w:t>
            </w:r>
            <w:r w:rsidRPr="00733CB1">
              <w:rPr>
                <w:vertAlign w:val="superscript"/>
              </w:rPr>
              <w:t>(4)</w:t>
            </w:r>
          </w:p>
        </w:tc>
        <w:tc>
          <w:tcPr>
            <w:tcW w:w="917" w:type="dxa"/>
            <w:tcBorders>
              <w:top w:val="nil"/>
              <w:left w:val="nil"/>
              <w:bottom w:val="nil"/>
              <w:right w:val="nil"/>
            </w:tcBorders>
            <w:shd w:val="clear" w:color="auto" w:fill="EFF4F5"/>
            <w:vAlign w:val="bottom"/>
          </w:tcPr>
          <w:p w14:paraId="164F5D38" w14:textId="77777777" w:rsidR="00733CB1" w:rsidRPr="00733CB1" w:rsidRDefault="00733CB1" w:rsidP="00AF0FDE">
            <w:pPr>
              <w:pStyle w:val="Tabletext"/>
              <w:keepNext/>
              <w:keepLines/>
              <w:jc w:val="right"/>
              <w:rPr>
                <w:bCs/>
              </w:rPr>
            </w:pPr>
            <w:r w:rsidRPr="00733CB1">
              <w:rPr>
                <w:bCs/>
              </w:rPr>
              <w:t>73.0</w:t>
            </w:r>
          </w:p>
        </w:tc>
        <w:tc>
          <w:tcPr>
            <w:tcW w:w="1123" w:type="dxa"/>
            <w:tcBorders>
              <w:top w:val="nil"/>
              <w:left w:val="nil"/>
              <w:bottom w:val="nil"/>
              <w:right w:val="nil"/>
            </w:tcBorders>
            <w:vAlign w:val="bottom"/>
          </w:tcPr>
          <w:p w14:paraId="7DB7FCFD" w14:textId="77777777" w:rsidR="00733CB1" w:rsidRPr="00733CB1" w:rsidRDefault="00733CB1" w:rsidP="00AF0FDE">
            <w:pPr>
              <w:pStyle w:val="Tabletext"/>
              <w:keepNext/>
              <w:keepLines/>
              <w:jc w:val="right"/>
              <w:rPr>
                <w:bCs/>
                <w:spacing w:val="-1"/>
              </w:rPr>
            </w:pPr>
            <w:r w:rsidRPr="00733CB1">
              <w:rPr>
                <w:bCs/>
                <w:spacing w:val="-1"/>
              </w:rPr>
              <w:t>71.6</w:t>
            </w:r>
          </w:p>
        </w:tc>
        <w:tc>
          <w:tcPr>
            <w:tcW w:w="818" w:type="dxa"/>
            <w:tcBorders>
              <w:top w:val="nil"/>
              <w:left w:val="nil"/>
              <w:bottom w:val="nil"/>
              <w:right w:val="nil"/>
            </w:tcBorders>
            <w:vAlign w:val="bottom"/>
          </w:tcPr>
          <w:p w14:paraId="16717956" w14:textId="77777777" w:rsidR="00733CB1" w:rsidRPr="00733CB1" w:rsidRDefault="00733CB1" w:rsidP="00AF0FDE">
            <w:pPr>
              <w:pStyle w:val="Tabletext"/>
              <w:jc w:val="right"/>
              <w:rPr>
                <w:bCs/>
              </w:rPr>
            </w:pPr>
            <w:r w:rsidRPr="00733CB1">
              <w:rPr>
                <w:bCs/>
              </w:rPr>
              <w:t>2.0%</w:t>
            </w:r>
          </w:p>
        </w:tc>
        <w:tc>
          <w:tcPr>
            <w:tcW w:w="882" w:type="dxa"/>
            <w:tcBorders>
              <w:top w:val="nil"/>
              <w:left w:val="nil"/>
              <w:bottom w:val="nil"/>
              <w:right w:val="nil"/>
            </w:tcBorders>
            <w:vAlign w:val="bottom"/>
          </w:tcPr>
          <w:p w14:paraId="1A48A2CC" w14:textId="77777777" w:rsidR="00733CB1" w:rsidRPr="00733CB1" w:rsidRDefault="00733CB1" w:rsidP="00AF0FDE">
            <w:pPr>
              <w:pStyle w:val="Tabletext"/>
              <w:jc w:val="right"/>
              <w:rPr>
                <w:color w:val="auto"/>
              </w:rPr>
            </w:pPr>
          </w:p>
        </w:tc>
      </w:tr>
      <w:tr w:rsidR="00733CB1" w:rsidRPr="00716EDB" w14:paraId="0E7E4F30" w14:textId="77777777" w:rsidTr="00AF0FDE">
        <w:tc>
          <w:tcPr>
            <w:tcW w:w="5332" w:type="dxa"/>
            <w:tcBorders>
              <w:top w:val="nil"/>
              <w:left w:val="nil"/>
              <w:bottom w:val="nil"/>
              <w:right w:val="nil"/>
            </w:tcBorders>
          </w:tcPr>
          <w:p w14:paraId="0AF07EAC" w14:textId="77777777" w:rsidR="00733CB1" w:rsidRPr="00536F7D" w:rsidRDefault="00733CB1" w:rsidP="00AF0FDE">
            <w:pPr>
              <w:pStyle w:val="Tabletext"/>
              <w:rPr>
                <w:b/>
                <w:color w:val="auto"/>
              </w:rPr>
            </w:pPr>
            <w:r w:rsidRPr="00536F7D">
              <w:rPr>
                <w:b/>
              </w:rPr>
              <w:t>Adjusted</w:t>
            </w:r>
            <w:r w:rsidRPr="00536F7D">
              <w:rPr>
                <w:b/>
                <w:spacing w:val="-5"/>
              </w:rPr>
              <w:t>,</w:t>
            </w:r>
            <w:r w:rsidRPr="00536F7D">
              <w:rPr>
                <w:b/>
                <w:spacing w:val="6"/>
              </w:rPr>
              <w:t xml:space="preserve"> </w:t>
            </w:r>
            <w:r w:rsidRPr="00536F7D">
              <w:rPr>
                <w:b/>
              </w:rPr>
              <w:t>basic</w:t>
            </w:r>
            <w:r w:rsidRPr="00536F7D">
              <w:rPr>
                <w:b/>
                <w:spacing w:val="6"/>
              </w:rPr>
              <w:t xml:space="preserve"> </w:t>
            </w:r>
            <w:r w:rsidRPr="00536F7D">
              <w:rPr>
                <w:b/>
                <w:spacing w:val="-5"/>
              </w:rPr>
              <w:t>earnings</w:t>
            </w:r>
            <w:r w:rsidRPr="00536F7D">
              <w:rPr>
                <w:b/>
                <w:spacing w:val="7"/>
              </w:rPr>
              <w:t xml:space="preserve"> </w:t>
            </w:r>
            <w:r w:rsidRPr="00536F7D">
              <w:rPr>
                <w:b/>
                <w:spacing w:val="-3"/>
              </w:rPr>
              <w:t>per</w:t>
            </w:r>
            <w:r w:rsidRPr="00536F7D">
              <w:rPr>
                <w:b/>
                <w:spacing w:val="6"/>
              </w:rPr>
              <w:t xml:space="preserve"> </w:t>
            </w:r>
            <w:r w:rsidRPr="00536F7D">
              <w:rPr>
                <w:b/>
                <w:spacing w:val="-5"/>
              </w:rPr>
              <w:t>share</w:t>
            </w:r>
            <w:r w:rsidRPr="00536F7D">
              <w:rPr>
                <w:b/>
                <w:spacing w:val="-7"/>
              </w:rPr>
              <w:t>,</w:t>
            </w:r>
            <w:r w:rsidRPr="00536F7D">
              <w:rPr>
                <w:b/>
                <w:spacing w:val="7"/>
              </w:rPr>
              <w:t xml:space="preserve"> </w:t>
            </w:r>
            <w:r w:rsidRPr="00536F7D">
              <w:rPr>
                <w:b/>
                <w:spacing w:val="-3"/>
              </w:rPr>
              <w:t>pence</w:t>
            </w:r>
            <w:r w:rsidRPr="00536F7D">
              <w:rPr>
                <w:b/>
                <w:spacing w:val="6"/>
              </w:rPr>
              <w:t xml:space="preserve"> </w:t>
            </w:r>
            <w:r w:rsidRPr="00536F7D">
              <w:rPr>
                <w:b/>
                <w:vertAlign w:val="superscript"/>
              </w:rPr>
              <w:t>(</w:t>
            </w:r>
            <w:r>
              <w:rPr>
                <w:b/>
                <w:vertAlign w:val="superscript"/>
              </w:rPr>
              <w:t>5</w:t>
            </w:r>
            <w:r w:rsidRPr="00536F7D">
              <w:rPr>
                <w:b/>
                <w:vertAlign w:val="superscript"/>
              </w:rPr>
              <w:t>)</w:t>
            </w:r>
          </w:p>
        </w:tc>
        <w:tc>
          <w:tcPr>
            <w:tcW w:w="917" w:type="dxa"/>
            <w:tcBorders>
              <w:top w:val="nil"/>
              <w:left w:val="nil"/>
              <w:bottom w:val="nil"/>
              <w:right w:val="nil"/>
            </w:tcBorders>
            <w:shd w:val="clear" w:color="auto" w:fill="EFF4F5"/>
            <w:vAlign w:val="bottom"/>
          </w:tcPr>
          <w:p w14:paraId="473834B9" w14:textId="77777777" w:rsidR="00733CB1" w:rsidRPr="00F87231" w:rsidRDefault="00733CB1" w:rsidP="00AF0FDE">
            <w:pPr>
              <w:pStyle w:val="Tabletext"/>
              <w:keepNext/>
              <w:keepLines/>
              <w:jc w:val="right"/>
              <w:rPr>
                <w:b/>
                <w:bCs/>
              </w:rPr>
            </w:pPr>
            <w:r w:rsidRPr="00F87231">
              <w:rPr>
                <w:b/>
                <w:bCs/>
              </w:rPr>
              <w:t>18.3</w:t>
            </w:r>
          </w:p>
        </w:tc>
        <w:tc>
          <w:tcPr>
            <w:tcW w:w="1123" w:type="dxa"/>
            <w:tcBorders>
              <w:top w:val="nil"/>
              <w:left w:val="nil"/>
              <w:bottom w:val="nil"/>
              <w:right w:val="nil"/>
            </w:tcBorders>
            <w:vAlign w:val="bottom"/>
          </w:tcPr>
          <w:p w14:paraId="524B6570" w14:textId="77777777" w:rsidR="00733CB1" w:rsidRPr="00F87231" w:rsidRDefault="00733CB1" w:rsidP="00AF0FDE">
            <w:pPr>
              <w:pStyle w:val="Tabletext"/>
              <w:keepNext/>
              <w:keepLines/>
              <w:jc w:val="right"/>
              <w:rPr>
                <w:b/>
                <w:bCs/>
                <w:spacing w:val="-1"/>
              </w:rPr>
            </w:pPr>
            <w:r w:rsidRPr="00F87231">
              <w:rPr>
                <w:b/>
                <w:bCs/>
                <w:spacing w:val="-1"/>
              </w:rPr>
              <w:t>1</w:t>
            </w:r>
            <w:r>
              <w:rPr>
                <w:b/>
                <w:bCs/>
                <w:spacing w:val="-1"/>
              </w:rPr>
              <w:t>7</w:t>
            </w:r>
            <w:r w:rsidRPr="00F87231">
              <w:rPr>
                <w:b/>
                <w:bCs/>
                <w:spacing w:val="-1"/>
              </w:rPr>
              <w:t>.</w:t>
            </w:r>
            <w:r>
              <w:rPr>
                <w:b/>
                <w:bCs/>
                <w:spacing w:val="-1"/>
              </w:rPr>
              <w:t>9</w:t>
            </w:r>
          </w:p>
        </w:tc>
        <w:tc>
          <w:tcPr>
            <w:tcW w:w="818" w:type="dxa"/>
            <w:tcBorders>
              <w:top w:val="nil"/>
              <w:left w:val="nil"/>
              <w:bottom w:val="nil"/>
              <w:right w:val="nil"/>
            </w:tcBorders>
            <w:vAlign w:val="bottom"/>
          </w:tcPr>
          <w:p w14:paraId="317F576D" w14:textId="77777777" w:rsidR="00733CB1" w:rsidRPr="00F87231" w:rsidRDefault="00733CB1" w:rsidP="00AF0FDE">
            <w:pPr>
              <w:pStyle w:val="Tabletext"/>
              <w:jc w:val="right"/>
              <w:rPr>
                <w:b/>
                <w:bCs/>
              </w:rPr>
            </w:pPr>
            <w:r w:rsidRPr="00F87231">
              <w:rPr>
                <w:b/>
                <w:bCs/>
              </w:rPr>
              <w:t>2.2%</w:t>
            </w:r>
          </w:p>
        </w:tc>
        <w:tc>
          <w:tcPr>
            <w:tcW w:w="882" w:type="dxa"/>
            <w:tcBorders>
              <w:top w:val="nil"/>
              <w:left w:val="nil"/>
              <w:bottom w:val="nil"/>
              <w:right w:val="nil"/>
            </w:tcBorders>
            <w:vAlign w:val="bottom"/>
          </w:tcPr>
          <w:p w14:paraId="7D49ACFD" w14:textId="77777777" w:rsidR="00733CB1" w:rsidRPr="00536F7D" w:rsidRDefault="00733CB1" w:rsidP="00AF0FDE">
            <w:pPr>
              <w:pStyle w:val="Tabletext"/>
              <w:jc w:val="right"/>
              <w:rPr>
                <w:b/>
                <w:color w:val="auto"/>
              </w:rPr>
            </w:pPr>
          </w:p>
        </w:tc>
      </w:tr>
      <w:tr w:rsidR="00733CB1" w:rsidRPr="00716EDB" w14:paraId="0A128EC4" w14:textId="77777777" w:rsidTr="00AF0FDE">
        <w:tc>
          <w:tcPr>
            <w:tcW w:w="5332" w:type="dxa"/>
            <w:tcBorders>
              <w:top w:val="nil"/>
              <w:left w:val="nil"/>
              <w:bottom w:val="nil"/>
              <w:right w:val="nil"/>
            </w:tcBorders>
          </w:tcPr>
          <w:p w14:paraId="1EB09FDC" w14:textId="72ECBF69" w:rsidR="00733CB1" w:rsidRPr="00B2361E" w:rsidRDefault="00A710D7" w:rsidP="00AF0FDE">
            <w:pPr>
              <w:pStyle w:val="Tabletext"/>
              <w:rPr>
                <w:color w:val="auto"/>
              </w:rPr>
            </w:pPr>
            <w:r>
              <w:rPr>
                <w:lang w:val="en-US" w:eastAsia="nl-NL"/>
              </w:rPr>
              <w:t>Total d</w:t>
            </w:r>
            <w:r w:rsidR="00733CB1" w:rsidRPr="00587138">
              <w:rPr>
                <w:lang w:val="en-US" w:eastAsia="nl-NL"/>
              </w:rPr>
              <w:t>ividend</w:t>
            </w:r>
            <w:r w:rsidR="00733CB1">
              <w:rPr>
                <w:lang w:val="en-US" w:eastAsia="nl-NL"/>
              </w:rPr>
              <w:t xml:space="preserve"> </w:t>
            </w:r>
            <w:r>
              <w:rPr>
                <w:lang w:val="en-US" w:eastAsia="nl-NL"/>
              </w:rPr>
              <w:t xml:space="preserve">paid / </w:t>
            </w:r>
            <w:r w:rsidR="00733CB1">
              <w:rPr>
                <w:lang w:val="en-US" w:eastAsia="nl-NL"/>
              </w:rPr>
              <w:t>proposed per share</w:t>
            </w:r>
            <w:r w:rsidR="00733CB1" w:rsidRPr="00B2361E">
              <w:rPr>
                <w:spacing w:val="-7"/>
              </w:rPr>
              <w:t>,</w:t>
            </w:r>
            <w:r w:rsidR="00733CB1" w:rsidRPr="00B2361E">
              <w:rPr>
                <w:spacing w:val="-9"/>
              </w:rPr>
              <w:t xml:space="preserve"> </w:t>
            </w:r>
            <w:r w:rsidR="00733CB1" w:rsidRPr="00B2361E">
              <w:rPr>
                <w:spacing w:val="-3"/>
              </w:rPr>
              <w:t>p</w:t>
            </w:r>
            <w:r w:rsidR="00733CB1" w:rsidRPr="00B2361E">
              <w:t>e</w:t>
            </w:r>
            <w:r w:rsidR="00733CB1" w:rsidRPr="00B2361E">
              <w:rPr>
                <w:spacing w:val="-3"/>
              </w:rPr>
              <w:t>nc</w:t>
            </w:r>
            <w:r w:rsidR="00733CB1" w:rsidRPr="00B2361E">
              <w:t>e</w:t>
            </w:r>
            <w:r w:rsidR="00733CB1">
              <w:t xml:space="preserve"> </w:t>
            </w:r>
            <w:r w:rsidR="00733CB1" w:rsidRPr="00F87231">
              <w:rPr>
                <w:vertAlign w:val="superscript"/>
              </w:rPr>
              <w:t>(</w:t>
            </w:r>
            <w:r w:rsidR="00733CB1">
              <w:rPr>
                <w:vertAlign w:val="superscript"/>
              </w:rPr>
              <w:t>6</w:t>
            </w:r>
            <w:r w:rsidR="00733CB1" w:rsidRPr="00F87231">
              <w:rPr>
                <w:vertAlign w:val="superscript"/>
              </w:rPr>
              <w:t>)</w:t>
            </w:r>
          </w:p>
        </w:tc>
        <w:tc>
          <w:tcPr>
            <w:tcW w:w="917" w:type="dxa"/>
            <w:tcBorders>
              <w:top w:val="nil"/>
              <w:left w:val="nil"/>
              <w:bottom w:val="nil"/>
              <w:right w:val="nil"/>
            </w:tcBorders>
            <w:shd w:val="clear" w:color="auto" w:fill="EFF4F5"/>
            <w:vAlign w:val="bottom"/>
          </w:tcPr>
          <w:p w14:paraId="78F16FF8" w14:textId="7A484F1D" w:rsidR="00733CB1" w:rsidRPr="00733CB1" w:rsidRDefault="00A608AC" w:rsidP="00A608AC">
            <w:pPr>
              <w:pStyle w:val="Tabletext"/>
              <w:jc w:val="right"/>
              <w:rPr>
                <w:bCs/>
              </w:rPr>
            </w:pPr>
            <w:r>
              <w:rPr>
                <w:bCs/>
              </w:rPr>
              <w:t>3</w:t>
            </w:r>
            <w:r w:rsidR="00733CB1" w:rsidRPr="00733CB1">
              <w:rPr>
                <w:bCs/>
              </w:rPr>
              <w:t>.</w:t>
            </w:r>
            <w:r>
              <w:rPr>
                <w:bCs/>
              </w:rPr>
              <w:t>7</w:t>
            </w:r>
          </w:p>
        </w:tc>
        <w:tc>
          <w:tcPr>
            <w:tcW w:w="1123" w:type="dxa"/>
            <w:tcBorders>
              <w:top w:val="nil"/>
              <w:left w:val="nil"/>
              <w:bottom w:val="nil"/>
              <w:right w:val="nil"/>
            </w:tcBorders>
            <w:vAlign w:val="bottom"/>
          </w:tcPr>
          <w:p w14:paraId="61616E02" w14:textId="77777777" w:rsidR="00733CB1" w:rsidRPr="00B2361E" w:rsidRDefault="00733CB1" w:rsidP="00AF0FDE">
            <w:pPr>
              <w:pStyle w:val="Tabletext"/>
              <w:jc w:val="right"/>
              <w:rPr>
                <w:color w:val="auto"/>
              </w:rPr>
            </w:pPr>
            <w:r>
              <w:t>1.8</w:t>
            </w:r>
          </w:p>
        </w:tc>
        <w:tc>
          <w:tcPr>
            <w:tcW w:w="818" w:type="dxa"/>
            <w:tcBorders>
              <w:top w:val="nil"/>
              <w:left w:val="nil"/>
              <w:bottom w:val="nil"/>
              <w:right w:val="nil"/>
            </w:tcBorders>
            <w:vAlign w:val="bottom"/>
          </w:tcPr>
          <w:p w14:paraId="71C638BC" w14:textId="2A688247" w:rsidR="00733CB1" w:rsidRPr="00F87231" w:rsidRDefault="00A710D7" w:rsidP="00F82B2D">
            <w:pPr>
              <w:pStyle w:val="Tabletext"/>
              <w:jc w:val="right"/>
              <w:rPr>
                <w:bCs/>
              </w:rPr>
            </w:pPr>
            <w:r>
              <w:rPr>
                <w:bCs/>
              </w:rPr>
              <w:t>10</w:t>
            </w:r>
            <w:r w:rsidR="00F82B2D">
              <w:rPr>
                <w:bCs/>
              </w:rPr>
              <w:t>5</w:t>
            </w:r>
            <w:r w:rsidR="00733CB1" w:rsidRPr="00F87231">
              <w:rPr>
                <w:bCs/>
              </w:rPr>
              <w:t>.</w:t>
            </w:r>
            <w:r w:rsidR="00F82B2D">
              <w:rPr>
                <w:bCs/>
              </w:rPr>
              <w:t>6</w:t>
            </w:r>
            <w:r w:rsidR="00733CB1" w:rsidRPr="00F87231">
              <w:rPr>
                <w:bCs/>
              </w:rPr>
              <w:t>%</w:t>
            </w:r>
          </w:p>
        </w:tc>
        <w:tc>
          <w:tcPr>
            <w:tcW w:w="882" w:type="dxa"/>
            <w:tcBorders>
              <w:top w:val="nil"/>
              <w:left w:val="nil"/>
              <w:bottom w:val="nil"/>
              <w:right w:val="nil"/>
            </w:tcBorders>
            <w:vAlign w:val="bottom"/>
          </w:tcPr>
          <w:p w14:paraId="5C7B87B8" w14:textId="77777777" w:rsidR="00733CB1" w:rsidRPr="00B2361E" w:rsidRDefault="00733CB1" w:rsidP="00AF0FDE">
            <w:pPr>
              <w:pStyle w:val="Tabletext"/>
              <w:jc w:val="right"/>
              <w:rPr>
                <w:color w:val="auto"/>
              </w:rPr>
            </w:pPr>
          </w:p>
        </w:tc>
      </w:tr>
      <w:tr w:rsidR="00733CB1" w:rsidRPr="00716EDB" w14:paraId="5FC1180E" w14:textId="77777777" w:rsidTr="00AF0FDE">
        <w:tc>
          <w:tcPr>
            <w:tcW w:w="5332" w:type="dxa"/>
            <w:tcBorders>
              <w:top w:val="nil"/>
              <w:left w:val="nil"/>
              <w:bottom w:val="nil"/>
              <w:right w:val="nil"/>
            </w:tcBorders>
          </w:tcPr>
          <w:p w14:paraId="04FB9E6B" w14:textId="77777777" w:rsidR="00733CB1" w:rsidRPr="00B2361E" w:rsidRDefault="00733CB1" w:rsidP="00AF0FDE">
            <w:pPr>
              <w:pStyle w:val="Tabletext"/>
              <w:rPr>
                <w:color w:val="auto"/>
              </w:rPr>
            </w:pPr>
            <w:r w:rsidRPr="00587138">
              <w:rPr>
                <w:lang w:val="en-US" w:eastAsia="nl-NL"/>
              </w:rPr>
              <w:t>Operating cash flow</w:t>
            </w:r>
            <w:r>
              <w:rPr>
                <w:lang w:val="en-US" w:eastAsia="nl-NL"/>
              </w:rPr>
              <w:t xml:space="preserve">, before exceptional items and income tax </w:t>
            </w:r>
            <w:r w:rsidRPr="00A52A94">
              <w:rPr>
                <w:vertAlign w:val="superscript"/>
              </w:rPr>
              <w:t>(7)</w:t>
            </w:r>
          </w:p>
        </w:tc>
        <w:tc>
          <w:tcPr>
            <w:tcW w:w="917" w:type="dxa"/>
            <w:tcBorders>
              <w:top w:val="nil"/>
              <w:left w:val="nil"/>
              <w:bottom w:val="nil"/>
              <w:right w:val="nil"/>
            </w:tcBorders>
            <w:shd w:val="clear" w:color="auto" w:fill="EFF4F5"/>
            <w:vAlign w:val="bottom"/>
          </w:tcPr>
          <w:p w14:paraId="43F91E9A" w14:textId="77777777" w:rsidR="00733CB1" w:rsidRPr="00733CB1" w:rsidRDefault="00733CB1" w:rsidP="00AF0FDE">
            <w:pPr>
              <w:pStyle w:val="Tabletext"/>
              <w:keepNext/>
              <w:keepLines/>
              <w:jc w:val="right"/>
              <w:rPr>
                <w:bCs/>
              </w:rPr>
            </w:pPr>
            <w:r w:rsidRPr="00733CB1">
              <w:rPr>
                <w:bCs/>
              </w:rPr>
              <w:t>166.7</w:t>
            </w:r>
          </w:p>
        </w:tc>
        <w:tc>
          <w:tcPr>
            <w:tcW w:w="1123" w:type="dxa"/>
            <w:tcBorders>
              <w:top w:val="nil"/>
              <w:left w:val="nil"/>
              <w:bottom w:val="nil"/>
              <w:right w:val="nil"/>
            </w:tcBorders>
            <w:vAlign w:val="bottom"/>
          </w:tcPr>
          <w:p w14:paraId="4717C878" w14:textId="77777777" w:rsidR="00733CB1" w:rsidRPr="00E86B07" w:rsidRDefault="00733CB1" w:rsidP="00AF0FDE">
            <w:pPr>
              <w:pStyle w:val="Tabletext"/>
              <w:jc w:val="right"/>
              <w:rPr>
                <w:color w:val="auto"/>
              </w:rPr>
            </w:pPr>
            <w:r w:rsidRPr="00E86B07">
              <w:rPr>
                <w:bCs/>
                <w:u w:color="76923C"/>
              </w:rPr>
              <w:t>1</w:t>
            </w:r>
            <w:r>
              <w:rPr>
                <w:bCs/>
                <w:u w:color="76923C"/>
              </w:rPr>
              <w:t>64</w:t>
            </w:r>
            <w:r w:rsidRPr="00E86B07">
              <w:rPr>
                <w:bCs/>
                <w:u w:color="76923C"/>
              </w:rPr>
              <w:t>.</w:t>
            </w:r>
            <w:r>
              <w:rPr>
                <w:bCs/>
                <w:u w:color="76923C"/>
              </w:rPr>
              <w:t>2</w:t>
            </w:r>
          </w:p>
        </w:tc>
        <w:tc>
          <w:tcPr>
            <w:tcW w:w="818" w:type="dxa"/>
            <w:tcBorders>
              <w:top w:val="nil"/>
              <w:left w:val="nil"/>
              <w:bottom w:val="nil"/>
              <w:right w:val="nil"/>
            </w:tcBorders>
            <w:vAlign w:val="bottom"/>
          </w:tcPr>
          <w:p w14:paraId="76728B37" w14:textId="77777777" w:rsidR="00733CB1" w:rsidRPr="00E86B07" w:rsidRDefault="00733CB1" w:rsidP="00AF0FDE">
            <w:pPr>
              <w:pStyle w:val="Tabletext"/>
              <w:jc w:val="right"/>
              <w:rPr>
                <w:color w:val="auto"/>
              </w:rPr>
            </w:pPr>
            <w:r>
              <w:rPr>
                <w:bCs/>
                <w:spacing w:val="-1"/>
              </w:rPr>
              <w:t>1.5</w:t>
            </w:r>
            <w:r w:rsidRPr="00E86B07">
              <w:rPr>
                <w:spacing w:val="-8"/>
              </w:rPr>
              <w:t>%</w:t>
            </w:r>
          </w:p>
        </w:tc>
        <w:tc>
          <w:tcPr>
            <w:tcW w:w="882" w:type="dxa"/>
            <w:tcBorders>
              <w:top w:val="nil"/>
              <w:left w:val="nil"/>
              <w:bottom w:val="nil"/>
              <w:right w:val="nil"/>
            </w:tcBorders>
            <w:vAlign w:val="bottom"/>
          </w:tcPr>
          <w:p w14:paraId="2353C534" w14:textId="77777777" w:rsidR="00733CB1" w:rsidRPr="00B2361E" w:rsidRDefault="00733CB1" w:rsidP="00AF0FDE">
            <w:pPr>
              <w:pStyle w:val="Tabletext"/>
              <w:jc w:val="right"/>
              <w:rPr>
                <w:color w:val="auto"/>
              </w:rPr>
            </w:pPr>
          </w:p>
        </w:tc>
      </w:tr>
      <w:tr w:rsidR="00733CB1" w:rsidRPr="00716EDB" w14:paraId="0B66FA59" w14:textId="77777777" w:rsidTr="00AF0FDE">
        <w:tc>
          <w:tcPr>
            <w:tcW w:w="5332" w:type="dxa"/>
            <w:tcBorders>
              <w:top w:val="nil"/>
              <w:left w:val="nil"/>
              <w:bottom w:val="nil"/>
              <w:right w:val="nil"/>
            </w:tcBorders>
          </w:tcPr>
          <w:p w14:paraId="0DC4CBD2" w14:textId="77777777" w:rsidR="00733CB1" w:rsidRPr="00B2361E" w:rsidRDefault="00733CB1" w:rsidP="00AF0FDE">
            <w:pPr>
              <w:pStyle w:val="Tabletext"/>
              <w:rPr>
                <w:color w:val="auto"/>
              </w:rPr>
            </w:pPr>
            <w:r w:rsidRPr="00FF00E5">
              <w:t xml:space="preserve">Capital investments </w:t>
            </w:r>
            <w:r w:rsidRPr="00B2361E">
              <w:t>and</w:t>
            </w:r>
            <w:r w:rsidRPr="00FF00E5">
              <w:t xml:space="preserve"> acquisitions</w:t>
            </w:r>
          </w:p>
        </w:tc>
        <w:tc>
          <w:tcPr>
            <w:tcW w:w="917" w:type="dxa"/>
            <w:tcBorders>
              <w:top w:val="nil"/>
              <w:left w:val="nil"/>
              <w:bottom w:val="nil"/>
              <w:right w:val="nil"/>
            </w:tcBorders>
            <w:shd w:val="clear" w:color="auto" w:fill="EFF4F5"/>
            <w:vAlign w:val="bottom"/>
          </w:tcPr>
          <w:p w14:paraId="51CBFEFF" w14:textId="77777777" w:rsidR="00733CB1" w:rsidRPr="00733CB1" w:rsidRDefault="00733CB1" w:rsidP="00AF0FDE">
            <w:pPr>
              <w:pStyle w:val="Tabletext"/>
              <w:keepNext/>
              <w:keepLines/>
              <w:jc w:val="right"/>
              <w:rPr>
                <w:bCs/>
              </w:rPr>
            </w:pPr>
            <w:r w:rsidRPr="00733CB1">
              <w:rPr>
                <w:bCs/>
              </w:rPr>
              <w:t>109.5</w:t>
            </w:r>
          </w:p>
        </w:tc>
        <w:tc>
          <w:tcPr>
            <w:tcW w:w="1123" w:type="dxa"/>
            <w:tcBorders>
              <w:top w:val="nil"/>
              <w:left w:val="nil"/>
              <w:bottom w:val="nil"/>
              <w:right w:val="nil"/>
            </w:tcBorders>
            <w:vAlign w:val="bottom"/>
          </w:tcPr>
          <w:p w14:paraId="1A024FF6" w14:textId="77777777" w:rsidR="00733CB1" w:rsidRPr="00B2361E" w:rsidRDefault="00733CB1" w:rsidP="00AF0FDE">
            <w:pPr>
              <w:pStyle w:val="Tabletext"/>
              <w:jc w:val="right"/>
              <w:rPr>
                <w:color w:val="auto"/>
              </w:rPr>
            </w:pPr>
            <w:r>
              <w:rPr>
                <w:bCs/>
                <w:u w:color="76923C"/>
              </w:rPr>
              <w:t>105.1</w:t>
            </w:r>
          </w:p>
        </w:tc>
        <w:tc>
          <w:tcPr>
            <w:tcW w:w="818" w:type="dxa"/>
            <w:tcBorders>
              <w:top w:val="nil"/>
              <w:left w:val="nil"/>
              <w:bottom w:val="nil"/>
              <w:right w:val="nil"/>
            </w:tcBorders>
            <w:vAlign w:val="bottom"/>
          </w:tcPr>
          <w:p w14:paraId="65C2433E" w14:textId="40929765" w:rsidR="00733CB1" w:rsidRPr="00553230" w:rsidRDefault="00553230" w:rsidP="00AF0FDE">
            <w:pPr>
              <w:pStyle w:val="Tabletext"/>
              <w:jc w:val="right"/>
              <w:rPr>
                <w:bCs/>
                <w:spacing w:val="-1"/>
              </w:rPr>
            </w:pPr>
            <w:r w:rsidRPr="00553230">
              <w:rPr>
                <w:bCs/>
                <w:spacing w:val="-1"/>
              </w:rPr>
              <w:t>4.2%</w:t>
            </w:r>
          </w:p>
        </w:tc>
        <w:tc>
          <w:tcPr>
            <w:tcW w:w="882" w:type="dxa"/>
            <w:tcBorders>
              <w:top w:val="nil"/>
              <w:left w:val="nil"/>
              <w:bottom w:val="nil"/>
              <w:right w:val="nil"/>
            </w:tcBorders>
            <w:vAlign w:val="bottom"/>
          </w:tcPr>
          <w:p w14:paraId="689A882C" w14:textId="77777777" w:rsidR="00733CB1" w:rsidRPr="00B2361E" w:rsidRDefault="00733CB1" w:rsidP="00AF0FDE">
            <w:pPr>
              <w:pStyle w:val="Tabletext"/>
              <w:jc w:val="right"/>
              <w:rPr>
                <w:color w:val="auto"/>
              </w:rPr>
            </w:pPr>
          </w:p>
        </w:tc>
      </w:tr>
      <w:tr w:rsidR="00733CB1" w:rsidRPr="00716EDB" w14:paraId="51A960D5" w14:textId="77777777" w:rsidTr="00AF0FDE">
        <w:tc>
          <w:tcPr>
            <w:tcW w:w="5332" w:type="dxa"/>
            <w:tcBorders>
              <w:top w:val="nil"/>
              <w:left w:val="nil"/>
              <w:bottom w:val="single" w:sz="4" w:space="0" w:color="93B7BB"/>
              <w:right w:val="nil"/>
            </w:tcBorders>
          </w:tcPr>
          <w:p w14:paraId="089ECD33" w14:textId="77777777" w:rsidR="00733CB1" w:rsidRPr="00B2361E" w:rsidRDefault="00733CB1" w:rsidP="00AF0FDE">
            <w:pPr>
              <w:pStyle w:val="Tabletext"/>
              <w:rPr>
                <w:b/>
                <w:bCs/>
                <w:color w:val="auto"/>
              </w:rPr>
            </w:pPr>
            <w:r w:rsidRPr="00FF00E5">
              <w:rPr>
                <w:b/>
                <w:bCs/>
              </w:rPr>
              <w:t>Net debt at the year end</w:t>
            </w:r>
          </w:p>
        </w:tc>
        <w:tc>
          <w:tcPr>
            <w:tcW w:w="917" w:type="dxa"/>
            <w:tcBorders>
              <w:top w:val="nil"/>
              <w:left w:val="nil"/>
              <w:bottom w:val="single" w:sz="4" w:space="0" w:color="93B7BB"/>
              <w:right w:val="nil"/>
            </w:tcBorders>
            <w:shd w:val="clear" w:color="auto" w:fill="EFF4F5"/>
            <w:vAlign w:val="bottom"/>
          </w:tcPr>
          <w:p w14:paraId="4F32DF17" w14:textId="77777777" w:rsidR="00733CB1" w:rsidRPr="00E86B07" w:rsidRDefault="00733CB1" w:rsidP="00AF0FDE">
            <w:pPr>
              <w:pStyle w:val="Tabletext"/>
              <w:keepNext/>
              <w:keepLines/>
              <w:jc w:val="right"/>
              <w:rPr>
                <w:b/>
                <w:bCs/>
              </w:rPr>
            </w:pPr>
            <w:r w:rsidRPr="00E86B07">
              <w:rPr>
                <w:b/>
                <w:bCs/>
              </w:rPr>
              <w:t>419.5</w:t>
            </w:r>
          </w:p>
        </w:tc>
        <w:tc>
          <w:tcPr>
            <w:tcW w:w="1123" w:type="dxa"/>
            <w:tcBorders>
              <w:top w:val="nil"/>
              <w:left w:val="nil"/>
              <w:bottom w:val="single" w:sz="4" w:space="0" w:color="93B7BB"/>
              <w:right w:val="nil"/>
            </w:tcBorders>
            <w:shd w:val="clear" w:color="auto" w:fill="auto"/>
            <w:vAlign w:val="bottom"/>
          </w:tcPr>
          <w:p w14:paraId="6DA54CB8" w14:textId="77777777" w:rsidR="00733CB1" w:rsidRPr="00B2361E" w:rsidRDefault="00733CB1" w:rsidP="00AF0FDE">
            <w:pPr>
              <w:pStyle w:val="Tabletext"/>
              <w:jc w:val="right"/>
              <w:rPr>
                <w:b/>
                <w:bCs/>
                <w:color w:val="auto"/>
              </w:rPr>
            </w:pPr>
            <w:r>
              <w:rPr>
                <w:b/>
                <w:bCs/>
                <w:u w:color="76923C"/>
              </w:rPr>
              <w:t>424.3</w:t>
            </w:r>
          </w:p>
        </w:tc>
        <w:tc>
          <w:tcPr>
            <w:tcW w:w="818" w:type="dxa"/>
            <w:tcBorders>
              <w:top w:val="nil"/>
              <w:left w:val="nil"/>
              <w:bottom w:val="single" w:sz="4" w:space="0" w:color="93B7BB"/>
              <w:right w:val="nil"/>
            </w:tcBorders>
            <w:vAlign w:val="bottom"/>
          </w:tcPr>
          <w:p w14:paraId="797D271A" w14:textId="12DFBD68" w:rsidR="00733CB1" w:rsidRPr="00553230" w:rsidRDefault="00553230" w:rsidP="00AF0FDE">
            <w:pPr>
              <w:pStyle w:val="Tabletext"/>
              <w:jc w:val="right"/>
              <w:rPr>
                <w:b/>
                <w:bCs/>
                <w:spacing w:val="-1"/>
              </w:rPr>
            </w:pPr>
            <w:r w:rsidRPr="00553230">
              <w:rPr>
                <w:b/>
                <w:bCs/>
                <w:spacing w:val="-1"/>
              </w:rPr>
              <w:t>(1.1%)</w:t>
            </w:r>
          </w:p>
        </w:tc>
        <w:tc>
          <w:tcPr>
            <w:tcW w:w="882" w:type="dxa"/>
            <w:tcBorders>
              <w:top w:val="nil"/>
              <w:left w:val="nil"/>
              <w:bottom w:val="single" w:sz="4" w:space="0" w:color="93B7BB"/>
              <w:right w:val="nil"/>
            </w:tcBorders>
            <w:vAlign w:val="bottom"/>
          </w:tcPr>
          <w:p w14:paraId="5151FED0" w14:textId="77777777" w:rsidR="00733CB1" w:rsidRPr="00B2361E" w:rsidRDefault="00733CB1" w:rsidP="00AF0FDE">
            <w:pPr>
              <w:pStyle w:val="Tabletext"/>
              <w:jc w:val="right"/>
              <w:rPr>
                <w:b/>
                <w:bCs/>
                <w:color w:val="auto"/>
              </w:rPr>
            </w:pPr>
          </w:p>
        </w:tc>
      </w:tr>
    </w:tbl>
    <w:p w14:paraId="72303685" w14:textId="5A25632C" w:rsidR="009C0210" w:rsidRDefault="009C0210" w:rsidP="00EC2CAB">
      <w:pPr>
        <w:pStyle w:val="Heading3"/>
      </w:pPr>
    </w:p>
    <w:p w14:paraId="3EA87644" w14:textId="77777777" w:rsidR="007B32B8" w:rsidRPr="00716EDB" w:rsidRDefault="007B32B8" w:rsidP="00B2361E">
      <w:pPr>
        <w:pStyle w:val="Heading3"/>
      </w:pPr>
      <w:r w:rsidRPr="00716EDB">
        <w:t>Group financial highlights</w:t>
      </w:r>
    </w:p>
    <w:p w14:paraId="5FCDE28C" w14:textId="2A010E68" w:rsidR="007D2BB1" w:rsidRDefault="007D2BB1" w:rsidP="00DC4685">
      <w:pPr>
        <w:pStyle w:val="Bullet1"/>
        <w:jc w:val="both"/>
      </w:pPr>
      <w:r w:rsidRPr="000920B9">
        <w:t xml:space="preserve">Revenue </w:t>
      </w:r>
      <w:r w:rsidR="00EC2CAB">
        <w:t>inc</w:t>
      </w:r>
      <w:r w:rsidR="00D71A17">
        <w:t>re</w:t>
      </w:r>
      <w:r w:rsidR="00EC2CAB">
        <w:t>ased by</w:t>
      </w:r>
      <w:r w:rsidR="00F36155">
        <w:t xml:space="preserve"> </w:t>
      </w:r>
      <w:r w:rsidR="00125C78">
        <w:t>3.4</w:t>
      </w:r>
      <w:r w:rsidRPr="000920B9">
        <w:t>% to £</w:t>
      </w:r>
      <w:r w:rsidR="00125C78">
        <w:t>884.8</w:t>
      </w:r>
      <w:r w:rsidRPr="000920B9">
        <w:t>m (201</w:t>
      </w:r>
      <w:r w:rsidR="00105D0F">
        <w:t>4</w:t>
      </w:r>
      <w:r w:rsidRPr="000920B9">
        <w:t>: £</w:t>
      </w:r>
      <w:r w:rsidR="00105D0F">
        <w:t>856</w:t>
      </w:r>
      <w:r w:rsidRPr="000920B9">
        <w:t>.</w:t>
      </w:r>
      <w:r w:rsidR="00105D0F">
        <w:t>0</w:t>
      </w:r>
      <w:r w:rsidRPr="000920B9">
        <w:t xml:space="preserve">m) with </w:t>
      </w:r>
      <w:r w:rsidR="00A2627B">
        <w:t xml:space="preserve">growth across </w:t>
      </w:r>
      <w:r w:rsidR="00125C78">
        <w:t>all</w:t>
      </w:r>
      <w:r w:rsidRPr="000920B9">
        <w:t xml:space="preserve"> </w:t>
      </w:r>
      <w:proofErr w:type="spellStart"/>
      <w:r w:rsidRPr="000920B9">
        <w:t>payor</w:t>
      </w:r>
      <w:proofErr w:type="spellEnd"/>
      <w:r w:rsidRPr="000920B9">
        <w:t xml:space="preserve"> groups </w:t>
      </w:r>
    </w:p>
    <w:p w14:paraId="2D2FCC21" w14:textId="6947F1BE" w:rsidR="00B56847" w:rsidRPr="000920B9" w:rsidRDefault="003B5D99" w:rsidP="00DC4685">
      <w:pPr>
        <w:pStyle w:val="Bullet1"/>
        <w:jc w:val="both"/>
      </w:pPr>
      <w:r>
        <w:t>In-patient and daycase admissions</w:t>
      </w:r>
      <w:r w:rsidR="00B56847">
        <w:t xml:space="preserve"> grew 3.7% to 270,000 cases </w:t>
      </w:r>
      <w:r w:rsidR="0069569F">
        <w:t xml:space="preserve">(2014: 260,300) </w:t>
      </w:r>
      <w:r w:rsidR="00B56847">
        <w:t xml:space="preserve">with growth across all </w:t>
      </w:r>
      <w:proofErr w:type="spellStart"/>
      <w:r w:rsidR="00B56847">
        <w:t>payor</w:t>
      </w:r>
      <w:proofErr w:type="spellEnd"/>
      <w:r w:rsidR="00B56847">
        <w:t xml:space="preserve"> groups</w:t>
      </w:r>
    </w:p>
    <w:p w14:paraId="7878F883" w14:textId="25919BC5" w:rsidR="003715AA" w:rsidRPr="000920B9" w:rsidRDefault="003715AA" w:rsidP="00DC4685">
      <w:pPr>
        <w:pStyle w:val="Bullet1"/>
        <w:jc w:val="both"/>
      </w:pPr>
      <w:r w:rsidRPr="000920B9">
        <w:t>Adjusted EBITDA</w:t>
      </w:r>
      <w:r w:rsidR="00B807DD">
        <w:t xml:space="preserve"> </w:t>
      </w:r>
      <w:r w:rsidR="00B807DD" w:rsidRPr="00B807DD">
        <w:rPr>
          <w:vertAlign w:val="superscript"/>
        </w:rPr>
        <w:t>(</w:t>
      </w:r>
      <w:r w:rsidR="001A1FCA">
        <w:rPr>
          <w:vertAlign w:val="superscript"/>
        </w:rPr>
        <w:t>2</w:t>
      </w:r>
      <w:r w:rsidR="00B807DD" w:rsidRPr="00B807DD">
        <w:rPr>
          <w:vertAlign w:val="superscript"/>
        </w:rPr>
        <w:t>)</w:t>
      </w:r>
      <w:r w:rsidRPr="000920B9">
        <w:t xml:space="preserve"> up </w:t>
      </w:r>
      <w:r w:rsidR="00125C78">
        <w:t>2.2</w:t>
      </w:r>
      <w:r w:rsidR="00812A84" w:rsidRPr="000920B9">
        <w:t>% to £</w:t>
      </w:r>
      <w:r w:rsidR="00125C78">
        <w:t>160.1</w:t>
      </w:r>
      <w:r w:rsidR="00812A84" w:rsidRPr="000920B9">
        <w:t xml:space="preserve">m </w:t>
      </w:r>
      <w:r w:rsidRPr="000920B9">
        <w:t>(201</w:t>
      </w:r>
      <w:r w:rsidR="00812A84">
        <w:t>4</w:t>
      </w:r>
      <w:r w:rsidRPr="000920B9">
        <w:t>: £15</w:t>
      </w:r>
      <w:r w:rsidR="00125C78">
        <w:t>6</w:t>
      </w:r>
      <w:r w:rsidRPr="000920B9">
        <w:t>.</w:t>
      </w:r>
      <w:r w:rsidR="00125C78">
        <w:t>7</w:t>
      </w:r>
      <w:r w:rsidRPr="000920B9">
        <w:t>m)</w:t>
      </w:r>
    </w:p>
    <w:p w14:paraId="55D5C818" w14:textId="32AF063B" w:rsidR="007037F8" w:rsidRPr="00C7614C" w:rsidRDefault="007037F8" w:rsidP="007037F8">
      <w:pPr>
        <w:pStyle w:val="Bullet1"/>
        <w:jc w:val="both"/>
      </w:pPr>
      <w:r w:rsidRPr="00C7614C">
        <w:t xml:space="preserve">Adjusted </w:t>
      </w:r>
      <w:r>
        <w:t xml:space="preserve">basic </w:t>
      </w:r>
      <w:r w:rsidRPr="00C7614C">
        <w:t>EPS</w:t>
      </w:r>
      <w:r>
        <w:t xml:space="preserve"> </w:t>
      </w:r>
      <w:r w:rsidR="00C90EC4">
        <w:rPr>
          <w:vertAlign w:val="superscript"/>
        </w:rPr>
        <w:t>(5</w:t>
      </w:r>
      <w:r w:rsidRPr="00B807DD">
        <w:rPr>
          <w:vertAlign w:val="superscript"/>
        </w:rPr>
        <w:t>)</w:t>
      </w:r>
      <w:r>
        <w:t xml:space="preserve"> of</w:t>
      </w:r>
      <w:r w:rsidRPr="00C7614C">
        <w:t xml:space="preserve"> </w:t>
      </w:r>
      <w:r>
        <w:t>18.3</w:t>
      </w:r>
      <w:r w:rsidRPr="00C7614C">
        <w:t>p per share</w:t>
      </w:r>
      <w:r>
        <w:t xml:space="preserve"> (</w:t>
      </w:r>
      <w:r w:rsidRPr="000920B9">
        <w:t>201</w:t>
      </w:r>
      <w:r>
        <w:t>4</w:t>
      </w:r>
      <w:r w:rsidRPr="000920B9">
        <w:t xml:space="preserve">: </w:t>
      </w:r>
      <w:r>
        <w:t>17.9</w:t>
      </w:r>
      <w:r w:rsidRPr="00C7614C">
        <w:t>p</w:t>
      </w:r>
      <w:r>
        <w:t>)</w:t>
      </w:r>
    </w:p>
    <w:p w14:paraId="27B0D0BB" w14:textId="6FD8407F" w:rsidR="00BD21FA" w:rsidRDefault="005B4250" w:rsidP="00ED44A0">
      <w:pPr>
        <w:pStyle w:val="Bullet1"/>
        <w:jc w:val="both"/>
      </w:pPr>
      <w:r>
        <w:t>Adjusted EBITDA c</w:t>
      </w:r>
      <w:r w:rsidR="00E379E7">
        <w:t xml:space="preserve">onversion </w:t>
      </w:r>
      <w:r w:rsidR="002B3B58">
        <w:t xml:space="preserve">to operating </w:t>
      </w:r>
      <w:r>
        <w:t xml:space="preserve">cash flow </w:t>
      </w:r>
      <w:r w:rsidR="002B3B58">
        <w:t xml:space="preserve">before exceptional items and income tax </w:t>
      </w:r>
      <w:r>
        <w:t xml:space="preserve">was </w:t>
      </w:r>
      <w:r w:rsidR="002B3B58">
        <w:t>104.1% (2014: 104.8%)</w:t>
      </w:r>
    </w:p>
    <w:p w14:paraId="3B4D6B27" w14:textId="2D03CAF0" w:rsidR="00ED44A0" w:rsidRPr="00D71A17" w:rsidRDefault="00BA2089" w:rsidP="00ED44A0">
      <w:pPr>
        <w:pStyle w:val="Bullet1"/>
        <w:jc w:val="both"/>
      </w:pPr>
      <w:r>
        <w:t>C</w:t>
      </w:r>
      <w:r w:rsidR="00ED44A0">
        <w:t xml:space="preserve">apital </w:t>
      </w:r>
      <w:r>
        <w:t>investments</w:t>
      </w:r>
      <w:r w:rsidR="00B37110">
        <w:t xml:space="preserve"> </w:t>
      </w:r>
      <w:r w:rsidR="00ED44A0">
        <w:t xml:space="preserve">totalled </w:t>
      </w:r>
      <w:r w:rsidR="00ED44A0" w:rsidRPr="000920B9">
        <w:t>£</w:t>
      </w:r>
      <w:r w:rsidR="00ED44A0">
        <w:t>109.5</w:t>
      </w:r>
      <w:r w:rsidR="00ED44A0" w:rsidRPr="000920B9">
        <w:t>m (201</w:t>
      </w:r>
      <w:r w:rsidR="00ED44A0">
        <w:t>4</w:t>
      </w:r>
      <w:r w:rsidR="00ED44A0" w:rsidRPr="000920B9">
        <w:t>: £</w:t>
      </w:r>
      <w:r w:rsidR="00ED44A0">
        <w:t>10</w:t>
      </w:r>
      <w:r w:rsidR="00ED44A0" w:rsidRPr="000920B9">
        <w:t>5.</w:t>
      </w:r>
      <w:r w:rsidR="00ED44A0">
        <w:t>1</w:t>
      </w:r>
      <w:r w:rsidR="00ED44A0" w:rsidRPr="000920B9">
        <w:t>m</w:t>
      </w:r>
      <w:r w:rsidR="00ED44A0">
        <w:t xml:space="preserve">, including the St Anthony’s Hospital acquisition) </w:t>
      </w:r>
    </w:p>
    <w:p w14:paraId="39974E2B" w14:textId="54DFAD52" w:rsidR="00F8612D" w:rsidRPr="000920B9" w:rsidRDefault="00D71A17" w:rsidP="00DC4685">
      <w:pPr>
        <w:pStyle w:val="Bullet1"/>
        <w:jc w:val="both"/>
      </w:pPr>
      <w:r>
        <w:t>N</w:t>
      </w:r>
      <w:r w:rsidR="00F8612D" w:rsidRPr="000920B9">
        <w:t>et debt</w:t>
      </w:r>
      <w:r w:rsidR="007A6FE1">
        <w:t xml:space="preserve"> </w:t>
      </w:r>
      <w:r w:rsidR="00C71FB7">
        <w:t>reduced</w:t>
      </w:r>
      <w:r w:rsidR="006D37B5">
        <w:t xml:space="preserve"> to </w:t>
      </w:r>
      <w:r w:rsidR="00553326" w:rsidRPr="000920B9">
        <w:t>£</w:t>
      </w:r>
      <w:r w:rsidR="007037F8">
        <w:t>419.5</w:t>
      </w:r>
      <w:r w:rsidR="00553326" w:rsidRPr="000920B9">
        <w:t>m</w:t>
      </w:r>
      <w:r w:rsidR="006D37B5">
        <w:t xml:space="preserve">, with leverage at 2.6 times Adjusted EBITDA </w:t>
      </w:r>
      <w:r w:rsidR="00F8612D" w:rsidRPr="000920B9">
        <w:t>(201</w:t>
      </w:r>
      <w:r w:rsidR="00553326">
        <w:t>4</w:t>
      </w:r>
      <w:r w:rsidR="00F8612D" w:rsidRPr="000920B9">
        <w:t>: £</w:t>
      </w:r>
      <w:r w:rsidR="00553326" w:rsidRPr="000920B9">
        <w:t>424.3</w:t>
      </w:r>
      <w:r w:rsidR="00F8612D" w:rsidRPr="000920B9">
        <w:t>m</w:t>
      </w:r>
      <w:r w:rsidR="006D37B5">
        <w:t xml:space="preserve"> and 2.7 times Adjusted EBITDA</w:t>
      </w:r>
      <w:r w:rsidR="00F8612D" w:rsidRPr="000920B9">
        <w:t>)</w:t>
      </w:r>
      <w:r w:rsidR="006D37B5">
        <w:t xml:space="preserve"> </w:t>
      </w:r>
      <w:r w:rsidR="004C0E93">
        <w:t xml:space="preserve"> </w:t>
      </w:r>
    </w:p>
    <w:p w14:paraId="3D7DDFC9" w14:textId="05D03F54" w:rsidR="002073DB" w:rsidRDefault="00C60FAB" w:rsidP="00DC4685">
      <w:pPr>
        <w:pStyle w:val="Bullet1"/>
        <w:jc w:val="both"/>
      </w:pPr>
      <w:r w:rsidRPr="009E2BFB">
        <w:t xml:space="preserve">Final dividend proposed of </w:t>
      </w:r>
      <w:r w:rsidR="007037F8" w:rsidRPr="009E2BFB">
        <w:t>2.4</w:t>
      </w:r>
      <w:r w:rsidRPr="009E2BFB">
        <w:t xml:space="preserve">p per share payable on </w:t>
      </w:r>
      <w:r w:rsidR="00ED44A0" w:rsidRPr="009E2BFB">
        <w:t>28 June 2016</w:t>
      </w:r>
      <w:r w:rsidR="007037F8" w:rsidRPr="009E2BFB">
        <w:t xml:space="preserve"> (2014: </w:t>
      </w:r>
      <w:r w:rsidR="00ED44A0" w:rsidRPr="009E2BFB">
        <w:t>1.8p</w:t>
      </w:r>
      <w:r w:rsidR="007037F8" w:rsidRPr="009E2BFB">
        <w:t>)</w:t>
      </w:r>
      <w:r w:rsidR="00A608AC" w:rsidRPr="009E2BFB">
        <w:t>. To</w:t>
      </w:r>
      <w:r w:rsidR="00CA3240" w:rsidRPr="009E2BFB">
        <w:t>tal dividend paid or proposed</w:t>
      </w:r>
      <w:r w:rsidR="00CA3240">
        <w:t xml:space="preserve"> for 2015 of </w:t>
      </w:r>
      <w:r w:rsidR="00A608AC">
        <w:t>3.7p per share (2014: 1.8p)</w:t>
      </w:r>
    </w:p>
    <w:p w14:paraId="0991DCE4" w14:textId="77777777" w:rsidR="00135976" w:rsidRDefault="00135976" w:rsidP="00135976">
      <w:pPr>
        <w:pStyle w:val="Bullet1"/>
        <w:numPr>
          <w:ilvl w:val="0"/>
          <w:numId w:val="0"/>
        </w:numPr>
        <w:ind w:left="357"/>
      </w:pPr>
    </w:p>
    <w:p w14:paraId="6D8DD310" w14:textId="77777777" w:rsidR="007B32B8" w:rsidRDefault="007B32B8" w:rsidP="00B2361E">
      <w:pPr>
        <w:pStyle w:val="Heading3"/>
      </w:pPr>
      <w:r w:rsidRPr="00716EDB">
        <w:t>Operating highlights</w:t>
      </w:r>
    </w:p>
    <w:p w14:paraId="5295149E" w14:textId="36C61E94" w:rsidR="00931F38" w:rsidRPr="00931F38" w:rsidRDefault="00931F38" w:rsidP="00DC4685">
      <w:pPr>
        <w:pStyle w:val="Bullet1"/>
        <w:jc w:val="both"/>
      </w:pPr>
      <w:r>
        <w:t>In November 2015, we opened our second dedicated Specialist Care Centre in Baddow</w:t>
      </w:r>
      <w:r w:rsidR="00BC4DF7">
        <w:t>,</w:t>
      </w:r>
      <w:r w:rsidR="00E3773C">
        <w:t xml:space="preserve"> offering radiotherapy and chemotherapy services</w:t>
      </w:r>
      <w:r w:rsidR="00BA2089">
        <w:t>;</w:t>
      </w:r>
      <w:r>
        <w:t xml:space="preserve">  further sites </w:t>
      </w:r>
      <w:r w:rsidR="00BA2089">
        <w:t xml:space="preserve">are </w:t>
      </w:r>
      <w:r>
        <w:t xml:space="preserve">being evaluated for future development </w:t>
      </w:r>
    </w:p>
    <w:p w14:paraId="0E930ABF" w14:textId="5600A175" w:rsidR="006608C2" w:rsidRDefault="00353A4D" w:rsidP="00DC4685">
      <w:pPr>
        <w:pStyle w:val="Bullet1"/>
        <w:jc w:val="both"/>
      </w:pPr>
      <w:r w:rsidRPr="00353A4D">
        <w:t xml:space="preserve">We successfully </w:t>
      </w:r>
      <w:r w:rsidR="00E42E85">
        <w:t>integrated Spire St Anthony’s Hospital (acquired in 2014) into the Spire Healthcare network, a</w:t>
      </w:r>
      <w:r w:rsidR="007E1554">
        <w:t xml:space="preserve">nd commenced building the new 6-theatre block (due to open in </w:t>
      </w:r>
      <w:r w:rsidR="00B81FC8">
        <w:t>s</w:t>
      </w:r>
      <w:r w:rsidR="007E1554">
        <w:t>ummer 2016)</w:t>
      </w:r>
    </w:p>
    <w:p w14:paraId="00D28161" w14:textId="1B34765A" w:rsidR="007E1554" w:rsidRPr="00353A4D" w:rsidRDefault="007E1554" w:rsidP="00DC4685">
      <w:pPr>
        <w:pStyle w:val="Bullet1"/>
        <w:jc w:val="both"/>
      </w:pPr>
      <w:r>
        <w:t>We continue the development of our new hospitals at Manchester and Nottingham, both of which are on schedule to complete in Q1 2017</w:t>
      </w:r>
    </w:p>
    <w:p w14:paraId="064985ED" w14:textId="77777777" w:rsidR="00A2627B" w:rsidRDefault="00A2627B">
      <w:pPr>
        <w:spacing w:after="160" w:line="259" w:lineRule="auto"/>
        <w:rPr>
          <w:rFonts w:asciiTheme="majorHAnsi" w:eastAsiaTheme="majorEastAsia" w:hAnsiTheme="majorHAnsi" w:cstheme="majorBidi"/>
          <w:b/>
          <w:caps/>
          <w:color w:val="93B6BB"/>
          <w:szCs w:val="24"/>
        </w:rPr>
      </w:pPr>
      <w:r>
        <w:rPr>
          <w:rFonts w:asciiTheme="majorHAnsi" w:eastAsiaTheme="majorEastAsia" w:hAnsiTheme="majorHAnsi" w:cstheme="majorBidi"/>
          <w:b/>
          <w:caps/>
          <w:color w:val="93B6BB"/>
          <w:szCs w:val="24"/>
        </w:rPr>
        <w:br w:type="page"/>
      </w:r>
    </w:p>
    <w:p w14:paraId="19A3FB64" w14:textId="060E7FBE" w:rsidR="00A2627B" w:rsidRPr="001A3F64" w:rsidRDefault="00A2627B" w:rsidP="00A2627B">
      <w:pPr>
        <w:pStyle w:val="Bullet1"/>
        <w:numPr>
          <w:ilvl w:val="0"/>
          <w:numId w:val="0"/>
        </w:numPr>
        <w:rPr>
          <w:i/>
        </w:rPr>
      </w:pPr>
      <w:r w:rsidRPr="00FB4743">
        <w:lastRenderedPageBreak/>
        <w:t>Rob Roger, C</w:t>
      </w:r>
      <w:r w:rsidR="003052F2">
        <w:t xml:space="preserve">hief </w:t>
      </w:r>
      <w:r w:rsidRPr="00FB4743">
        <w:t>E</w:t>
      </w:r>
      <w:r w:rsidR="003052F2">
        <w:t xml:space="preserve">xecutive </w:t>
      </w:r>
      <w:r w:rsidRPr="00FB4743">
        <w:t>O</w:t>
      </w:r>
      <w:r w:rsidR="003052F2">
        <w:t>fficer</w:t>
      </w:r>
      <w:r w:rsidRPr="00FB4743">
        <w:t xml:space="preserve"> of Spire Healthcare, said</w:t>
      </w:r>
      <w:r>
        <w:t>:</w:t>
      </w:r>
      <w:r w:rsidRPr="001A3F64">
        <w:rPr>
          <w:i/>
        </w:rPr>
        <w:t xml:space="preserve"> </w:t>
      </w:r>
    </w:p>
    <w:p w14:paraId="42EFF296" w14:textId="3673E1C8" w:rsidR="00A2627B" w:rsidRPr="004150C6" w:rsidRDefault="00A2627B" w:rsidP="00A2627B">
      <w:pPr>
        <w:jc w:val="both"/>
        <w:rPr>
          <w:i/>
        </w:rPr>
      </w:pPr>
      <w:r w:rsidRPr="000771C5">
        <w:rPr>
          <w:i/>
        </w:rPr>
        <w:t>“</w:t>
      </w:r>
      <w:r w:rsidR="002073DB" w:rsidRPr="002073DB">
        <w:rPr>
          <w:i/>
        </w:rPr>
        <w:t xml:space="preserve">2015 </w:t>
      </w:r>
      <w:r w:rsidR="00510467">
        <w:rPr>
          <w:i/>
        </w:rPr>
        <w:t>sa</w:t>
      </w:r>
      <w:r w:rsidR="002073DB" w:rsidRPr="002073DB">
        <w:rPr>
          <w:i/>
        </w:rPr>
        <w:t xml:space="preserve">w </w:t>
      </w:r>
      <w:r w:rsidR="009267B1">
        <w:rPr>
          <w:i/>
        </w:rPr>
        <w:t xml:space="preserve">the </w:t>
      </w:r>
      <w:r w:rsidR="002073DB" w:rsidRPr="002073DB">
        <w:rPr>
          <w:i/>
        </w:rPr>
        <w:t xml:space="preserve">eighth consecutive year of sales growth </w:t>
      </w:r>
      <w:r w:rsidR="00B37110">
        <w:rPr>
          <w:i/>
        </w:rPr>
        <w:t xml:space="preserve">and, in the year, growth </w:t>
      </w:r>
      <w:r w:rsidR="002073DB" w:rsidRPr="002073DB">
        <w:rPr>
          <w:i/>
        </w:rPr>
        <w:t xml:space="preserve">across all three </w:t>
      </w:r>
      <w:proofErr w:type="spellStart"/>
      <w:r w:rsidR="002073DB" w:rsidRPr="002073DB">
        <w:rPr>
          <w:i/>
        </w:rPr>
        <w:t>payor</w:t>
      </w:r>
      <w:proofErr w:type="spellEnd"/>
      <w:r w:rsidR="002073DB" w:rsidRPr="002073DB">
        <w:rPr>
          <w:i/>
        </w:rPr>
        <w:t xml:space="preserve"> groups. Th</w:t>
      </w:r>
      <w:r w:rsidR="009267B1">
        <w:rPr>
          <w:i/>
        </w:rPr>
        <w:t>e</w:t>
      </w:r>
      <w:r w:rsidR="002073DB" w:rsidRPr="002073DB">
        <w:rPr>
          <w:i/>
        </w:rPr>
        <w:t xml:space="preserve"> </w:t>
      </w:r>
      <w:r w:rsidR="009267B1">
        <w:rPr>
          <w:i/>
        </w:rPr>
        <w:t xml:space="preserve">unexpected </w:t>
      </w:r>
      <w:r w:rsidR="002073DB" w:rsidRPr="002073DB">
        <w:rPr>
          <w:i/>
        </w:rPr>
        <w:t>regulatory guidance from Monitor</w:t>
      </w:r>
      <w:r w:rsidR="00EF21B1">
        <w:rPr>
          <w:i/>
        </w:rPr>
        <w:t xml:space="preserve"> in August 2015</w:t>
      </w:r>
      <w:r w:rsidR="002073DB" w:rsidRPr="002073DB">
        <w:rPr>
          <w:i/>
        </w:rPr>
        <w:t>, which</w:t>
      </w:r>
      <w:r w:rsidR="004E3B68">
        <w:rPr>
          <w:i/>
        </w:rPr>
        <w:t xml:space="preserve"> resulted in the falling-off of</w:t>
      </w:r>
      <w:r w:rsidR="006A69F3">
        <w:rPr>
          <w:i/>
        </w:rPr>
        <w:t xml:space="preserve"> </w:t>
      </w:r>
      <w:r w:rsidR="004E3B68">
        <w:rPr>
          <w:i/>
        </w:rPr>
        <w:t xml:space="preserve">the </w:t>
      </w:r>
      <w:r w:rsidR="002073DB" w:rsidRPr="002073DB">
        <w:rPr>
          <w:i/>
        </w:rPr>
        <w:t>Local Contract</w:t>
      </w:r>
      <w:r w:rsidR="004E3B68">
        <w:rPr>
          <w:i/>
        </w:rPr>
        <w:t xml:space="preserve"> </w:t>
      </w:r>
      <w:r w:rsidR="004E3B68" w:rsidRPr="004150C6">
        <w:rPr>
          <w:i/>
        </w:rPr>
        <w:t>component of</w:t>
      </w:r>
      <w:r w:rsidR="002073DB" w:rsidRPr="004150C6">
        <w:rPr>
          <w:i/>
        </w:rPr>
        <w:t xml:space="preserve"> </w:t>
      </w:r>
      <w:r w:rsidR="006A69F3" w:rsidRPr="004150C6">
        <w:rPr>
          <w:i/>
        </w:rPr>
        <w:t xml:space="preserve">NHS </w:t>
      </w:r>
      <w:r w:rsidR="004E3B68" w:rsidRPr="004150C6">
        <w:rPr>
          <w:i/>
        </w:rPr>
        <w:t>activity</w:t>
      </w:r>
      <w:r w:rsidR="009118BF" w:rsidRPr="004150C6">
        <w:rPr>
          <w:i/>
        </w:rPr>
        <w:t xml:space="preserve"> </w:t>
      </w:r>
      <w:r w:rsidR="002073DB" w:rsidRPr="004150C6">
        <w:rPr>
          <w:i/>
        </w:rPr>
        <w:t>in the second half of the year</w:t>
      </w:r>
      <w:r w:rsidR="009267B1">
        <w:rPr>
          <w:i/>
        </w:rPr>
        <w:t>, reduced</w:t>
      </w:r>
      <w:r w:rsidR="002073DB" w:rsidRPr="004150C6">
        <w:rPr>
          <w:i/>
        </w:rPr>
        <w:t xml:space="preserve"> revenue gr</w:t>
      </w:r>
      <w:r w:rsidR="009267B1">
        <w:rPr>
          <w:i/>
        </w:rPr>
        <w:t>o</w:t>
      </w:r>
      <w:r w:rsidR="002073DB" w:rsidRPr="004150C6">
        <w:rPr>
          <w:i/>
        </w:rPr>
        <w:t>w</w:t>
      </w:r>
      <w:r w:rsidR="009267B1">
        <w:rPr>
          <w:i/>
        </w:rPr>
        <w:t>th</w:t>
      </w:r>
      <w:r w:rsidR="002073DB" w:rsidRPr="004150C6">
        <w:rPr>
          <w:i/>
        </w:rPr>
        <w:t xml:space="preserve"> </w:t>
      </w:r>
      <w:r w:rsidR="009267B1">
        <w:rPr>
          <w:i/>
        </w:rPr>
        <w:t xml:space="preserve">to </w:t>
      </w:r>
      <w:r w:rsidR="002073DB" w:rsidRPr="004150C6">
        <w:rPr>
          <w:i/>
        </w:rPr>
        <w:t xml:space="preserve">3.4% </w:t>
      </w:r>
      <w:r w:rsidR="009348B9">
        <w:rPr>
          <w:i/>
        </w:rPr>
        <w:t>compared to the</w:t>
      </w:r>
      <w:r w:rsidR="007A482F">
        <w:rPr>
          <w:i/>
        </w:rPr>
        <w:t xml:space="preserve"> </w:t>
      </w:r>
      <w:r w:rsidR="002073DB" w:rsidRPr="004150C6">
        <w:rPr>
          <w:i/>
        </w:rPr>
        <w:t xml:space="preserve">compound </w:t>
      </w:r>
      <w:r w:rsidR="009348B9">
        <w:rPr>
          <w:i/>
        </w:rPr>
        <w:t xml:space="preserve">annual </w:t>
      </w:r>
      <w:r w:rsidR="002073DB" w:rsidRPr="004150C6">
        <w:rPr>
          <w:i/>
        </w:rPr>
        <w:t xml:space="preserve">growth rate </w:t>
      </w:r>
      <w:r w:rsidR="009348B9">
        <w:rPr>
          <w:i/>
        </w:rPr>
        <w:t>of</w:t>
      </w:r>
      <w:r w:rsidR="007A482F">
        <w:rPr>
          <w:i/>
        </w:rPr>
        <w:t xml:space="preserve"> 6.7%</w:t>
      </w:r>
      <w:r w:rsidR="009348B9">
        <w:rPr>
          <w:i/>
        </w:rPr>
        <w:t xml:space="preserve"> from 2009-14</w:t>
      </w:r>
      <w:r w:rsidR="007A482F">
        <w:rPr>
          <w:i/>
        </w:rPr>
        <w:t>.</w:t>
      </w:r>
      <w:r w:rsidR="002073DB" w:rsidRPr="004150C6">
        <w:rPr>
          <w:i/>
        </w:rPr>
        <w:t xml:space="preserve"> </w:t>
      </w:r>
      <w:r w:rsidR="007A482F">
        <w:rPr>
          <w:i/>
        </w:rPr>
        <w:t>O</w:t>
      </w:r>
      <w:r w:rsidR="002073DB" w:rsidRPr="004150C6">
        <w:rPr>
          <w:i/>
        </w:rPr>
        <w:t xml:space="preserve">ur </w:t>
      </w:r>
      <w:proofErr w:type="gramStart"/>
      <w:r w:rsidR="002073DB" w:rsidRPr="004150C6">
        <w:rPr>
          <w:i/>
        </w:rPr>
        <w:t>EBITDA</w:t>
      </w:r>
      <w:r w:rsidR="006F2612" w:rsidRPr="006F2612">
        <w:rPr>
          <w:i/>
          <w:vertAlign w:val="superscript"/>
        </w:rPr>
        <w:t>(</w:t>
      </w:r>
      <w:proofErr w:type="gramEnd"/>
      <w:r w:rsidR="006F2612" w:rsidRPr="006F2612">
        <w:rPr>
          <w:i/>
          <w:vertAlign w:val="superscript"/>
        </w:rPr>
        <w:t>2)</w:t>
      </w:r>
      <w:r w:rsidR="002073DB" w:rsidRPr="004150C6">
        <w:rPr>
          <w:i/>
        </w:rPr>
        <w:t xml:space="preserve"> margin remained above 18% and </w:t>
      </w:r>
      <w:r w:rsidR="007910D4">
        <w:rPr>
          <w:i/>
        </w:rPr>
        <w:t xml:space="preserve">our EBITDA </w:t>
      </w:r>
      <w:r w:rsidR="002073DB" w:rsidRPr="004150C6">
        <w:rPr>
          <w:i/>
        </w:rPr>
        <w:t xml:space="preserve">to operating cash flow </w:t>
      </w:r>
      <w:r w:rsidR="007910D4">
        <w:rPr>
          <w:i/>
        </w:rPr>
        <w:t xml:space="preserve">conversion </w:t>
      </w:r>
      <w:r w:rsidR="002073DB" w:rsidRPr="004150C6">
        <w:rPr>
          <w:i/>
        </w:rPr>
        <w:t xml:space="preserve">was 104%. All of </w:t>
      </w:r>
      <w:r w:rsidR="009348B9">
        <w:rPr>
          <w:i/>
        </w:rPr>
        <w:t xml:space="preserve">this </w:t>
      </w:r>
      <w:r w:rsidR="007A482F">
        <w:rPr>
          <w:i/>
        </w:rPr>
        <w:t xml:space="preserve">illustrates </w:t>
      </w:r>
      <w:r w:rsidR="002073DB" w:rsidRPr="004150C6">
        <w:rPr>
          <w:i/>
        </w:rPr>
        <w:t>the resilience of our business model</w:t>
      </w:r>
      <w:r w:rsidRPr="004150C6">
        <w:rPr>
          <w:i/>
        </w:rPr>
        <w:t>.</w:t>
      </w:r>
    </w:p>
    <w:p w14:paraId="79B288E1" w14:textId="79437D8A" w:rsidR="00E16167" w:rsidRDefault="002073DB" w:rsidP="00A2627B">
      <w:pPr>
        <w:jc w:val="both"/>
        <w:rPr>
          <w:i/>
        </w:rPr>
      </w:pPr>
      <w:r>
        <w:rPr>
          <w:i/>
        </w:rPr>
        <w:t>“</w:t>
      </w:r>
      <w:r w:rsidR="007A482F">
        <w:rPr>
          <w:i/>
        </w:rPr>
        <w:t>W</w:t>
      </w:r>
      <w:r w:rsidRPr="002073DB">
        <w:rPr>
          <w:i/>
        </w:rPr>
        <w:t>e believe Spire’s business proposition is more valid than ever. NHS waiting lists have continued</w:t>
      </w:r>
      <w:r w:rsidR="001A39AE">
        <w:rPr>
          <w:i/>
        </w:rPr>
        <w:t xml:space="preserve"> to lengthen and NHS funding is</w:t>
      </w:r>
      <w:r w:rsidRPr="002073DB">
        <w:rPr>
          <w:i/>
        </w:rPr>
        <w:t xml:space="preserve"> increasingly tight</w:t>
      </w:r>
      <w:r w:rsidR="007A482F">
        <w:rPr>
          <w:i/>
        </w:rPr>
        <w:t xml:space="preserve">. The target of </w:t>
      </w:r>
      <w:r w:rsidRPr="002073DB">
        <w:rPr>
          <w:i/>
        </w:rPr>
        <w:t xml:space="preserve">£22 billion </w:t>
      </w:r>
      <w:r w:rsidR="00BA2089">
        <w:rPr>
          <w:i/>
        </w:rPr>
        <w:t>of</w:t>
      </w:r>
      <w:r w:rsidR="007A482F">
        <w:rPr>
          <w:i/>
        </w:rPr>
        <w:t xml:space="preserve"> </w:t>
      </w:r>
      <w:r w:rsidRPr="002073DB">
        <w:rPr>
          <w:i/>
        </w:rPr>
        <w:t xml:space="preserve">savings and </w:t>
      </w:r>
      <w:r w:rsidR="00BA2089">
        <w:rPr>
          <w:i/>
        </w:rPr>
        <w:t xml:space="preserve">cost </w:t>
      </w:r>
      <w:r w:rsidRPr="002073DB">
        <w:rPr>
          <w:i/>
        </w:rPr>
        <w:t>efficiencies by 2021</w:t>
      </w:r>
      <w:r w:rsidR="007A482F">
        <w:rPr>
          <w:i/>
        </w:rPr>
        <w:t xml:space="preserve"> continues to look very challenging and Hospital Trust c</w:t>
      </w:r>
      <w:r w:rsidRPr="002073DB">
        <w:rPr>
          <w:i/>
        </w:rPr>
        <w:t xml:space="preserve">apital budgets have been </w:t>
      </w:r>
      <w:r w:rsidR="00BA2089">
        <w:rPr>
          <w:i/>
        </w:rPr>
        <w:t>constrained</w:t>
      </w:r>
      <w:r w:rsidR="007A482F">
        <w:rPr>
          <w:i/>
        </w:rPr>
        <w:t xml:space="preserve"> </w:t>
      </w:r>
      <w:r w:rsidRPr="002073DB">
        <w:rPr>
          <w:i/>
        </w:rPr>
        <w:t xml:space="preserve">to </w:t>
      </w:r>
      <w:r w:rsidR="007A482F">
        <w:rPr>
          <w:i/>
        </w:rPr>
        <w:t xml:space="preserve">help fund </w:t>
      </w:r>
      <w:r w:rsidRPr="002073DB">
        <w:rPr>
          <w:i/>
        </w:rPr>
        <w:t>trading deficits</w:t>
      </w:r>
      <w:r w:rsidR="00A2627B" w:rsidRPr="00E16167">
        <w:rPr>
          <w:i/>
        </w:rPr>
        <w:t>.</w:t>
      </w:r>
    </w:p>
    <w:p w14:paraId="2A34098E" w14:textId="588D0E8B" w:rsidR="004F1921" w:rsidRDefault="002073DB" w:rsidP="00A2627B">
      <w:pPr>
        <w:jc w:val="both"/>
        <w:rPr>
          <w:i/>
        </w:rPr>
      </w:pPr>
      <w:r>
        <w:rPr>
          <w:i/>
        </w:rPr>
        <w:t>“</w:t>
      </w:r>
      <w:r w:rsidR="00BA2089">
        <w:rPr>
          <w:i/>
        </w:rPr>
        <w:t>We</w:t>
      </w:r>
      <w:r w:rsidR="007A482F">
        <w:rPr>
          <w:i/>
        </w:rPr>
        <w:t xml:space="preserve"> r</w:t>
      </w:r>
      <w:r w:rsidRPr="002073DB">
        <w:rPr>
          <w:i/>
        </w:rPr>
        <w:t xml:space="preserve">emain confident of significant business growth </w:t>
      </w:r>
      <w:r w:rsidR="00BA2089">
        <w:rPr>
          <w:i/>
        </w:rPr>
        <w:t xml:space="preserve">in </w:t>
      </w:r>
      <w:r w:rsidRPr="002073DB">
        <w:rPr>
          <w:i/>
        </w:rPr>
        <w:t xml:space="preserve">the independent sector in the next </w:t>
      </w:r>
      <w:r>
        <w:rPr>
          <w:i/>
        </w:rPr>
        <w:t>five</w:t>
      </w:r>
      <w:r w:rsidRPr="002073DB">
        <w:rPr>
          <w:i/>
        </w:rPr>
        <w:t xml:space="preserve"> years, and </w:t>
      </w:r>
      <w:r w:rsidR="007A482F">
        <w:rPr>
          <w:i/>
        </w:rPr>
        <w:t xml:space="preserve">we will </w:t>
      </w:r>
      <w:r w:rsidRPr="002073DB">
        <w:rPr>
          <w:i/>
        </w:rPr>
        <w:t xml:space="preserve">continue to increase our asset base to </w:t>
      </w:r>
      <w:r w:rsidR="007A482F">
        <w:rPr>
          <w:i/>
        </w:rPr>
        <w:t xml:space="preserve">accommodate </w:t>
      </w:r>
      <w:r w:rsidRPr="002073DB">
        <w:rPr>
          <w:i/>
        </w:rPr>
        <w:t xml:space="preserve">increased patient numbers. </w:t>
      </w:r>
      <w:r w:rsidR="007A482F">
        <w:rPr>
          <w:i/>
        </w:rPr>
        <w:t>The construction of our two new hospital</w:t>
      </w:r>
      <w:r w:rsidRPr="002073DB">
        <w:rPr>
          <w:i/>
        </w:rPr>
        <w:t xml:space="preserve">s in Manchester and Nottingham </w:t>
      </w:r>
      <w:r w:rsidR="007A482F">
        <w:rPr>
          <w:i/>
        </w:rPr>
        <w:t xml:space="preserve">is </w:t>
      </w:r>
      <w:r w:rsidRPr="002073DB">
        <w:rPr>
          <w:i/>
        </w:rPr>
        <w:t xml:space="preserve">on schedule </w:t>
      </w:r>
      <w:r w:rsidR="007A482F" w:rsidRPr="002073DB">
        <w:rPr>
          <w:i/>
        </w:rPr>
        <w:t>–</w:t>
      </w:r>
      <w:r w:rsidR="007A482F">
        <w:rPr>
          <w:i/>
        </w:rPr>
        <w:t xml:space="preserve"> we expect both to </w:t>
      </w:r>
      <w:r w:rsidRPr="002073DB">
        <w:rPr>
          <w:i/>
        </w:rPr>
        <w:t>open in Q1 2017</w:t>
      </w:r>
      <w:r w:rsidR="007A482F">
        <w:rPr>
          <w:i/>
        </w:rPr>
        <w:t xml:space="preserve"> </w:t>
      </w:r>
      <w:r w:rsidR="007A482F" w:rsidRPr="002073DB">
        <w:rPr>
          <w:i/>
        </w:rPr>
        <w:t>–</w:t>
      </w:r>
      <w:r w:rsidRPr="002073DB">
        <w:rPr>
          <w:i/>
        </w:rPr>
        <w:t xml:space="preserve"> </w:t>
      </w:r>
      <w:r w:rsidR="007A482F">
        <w:rPr>
          <w:i/>
        </w:rPr>
        <w:t>whil</w:t>
      </w:r>
      <w:r w:rsidR="00C660DC">
        <w:rPr>
          <w:i/>
        </w:rPr>
        <w:t>st</w:t>
      </w:r>
      <w:r w:rsidR="007A482F">
        <w:rPr>
          <w:i/>
        </w:rPr>
        <w:t xml:space="preserve"> </w:t>
      </w:r>
      <w:r w:rsidRPr="002073DB">
        <w:rPr>
          <w:i/>
        </w:rPr>
        <w:t xml:space="preserve">the integration </w:t>
      </w:r>
      <w:r w:rsidR="007A482F">
        <w:rPr>
          <w:i/>
        </w:rPr>
        <w:t xml:space="preserve">and development </w:t>
      </w:r>
      <w:r w:rsidRPr="002073DB">
        <w:rPr>
          <w:i/>
        </w:rPr>
        <w:t xml:space="preserve">of Spire St Anthony’s Hospital </w:t>
      </w:r>
      <w:r w:rsidR="007A482F">
        <w:rPr>
          <w:i/>
        </w:rPr>
        <w:t xml:space="preserve">is </w:t>
      </w:r>
      <w:r w:rsidRPr="002073DB">
        <w:rPr>
          <w:i/>
        </w:rPr>
        <w:t xml:space="preserve">ahead of plan – with a new </w:t>
      </w:r>
      <w:r>
        <w:rPr>
          <w:i/>
        </w:rPr>
        <w:t>six</w:t>
      </w:r>
      <w:r w:rsidR="00CB2495">
        <w:rPr>
          <w:i/>
        </w:rPr>
        <w:t xml:space="preserve"> theatre block to open </w:t>
      </w:r>
      <w:r w:rsidR="007A482F">
        <w:rPr>
          <w:i/>
        </w:rPr>
        <w:t xml:space="preserve">this </w:t>
      </w:r>
      <w:r w:rsidR="00CB2495">
        <w:rPr>
          <w:i/>
        </w:rPr>
        <w:t>s</w:t>
      </w:r>
      <w:r w:rsidRPr="002073DB">
        <w:rPr>
          <w:i/>
        </w:rPr>
        <w:t>ummer.  We will open more operating theatres a</w:t>
      </w:r>
      <w:r w:rsidR="00BA2089">
        <w:rPr>
          <w:i/>
        </w:rPr>
        <w:t>t existing hospitals</w:t>
      </w:r>
      <w:r w:rsidR="007A482F">
        <w:rPr>
          <w:i/>
        </w:rPr>
        <w:t xml:space="preserve"> </w:t>
      </w:r>
      <w:r w:rsidR="00BA2089">
        <w:rPr>
          <w:i/>
        </w:rPr>
        <w:t xml:space="preserve">as local </w:t>
      </w:r>
      <w:r w:rsidRPr="002073DB">
        <w:rPr>
          <w:i/>
        </w:rPr>
        <w:t xml:space="preserve">capacity requirements dictate, and will move ahead with </w:t>
      </w:r>
      <w:r w:rsidR="002312EB">
        <w:rPr>
          <w:i/>
        </w:rPr>
        <w:t xml:space="preserve">additional </w:t>
      </w:r>
      <w:r w:rsidRPr="002073DB">
        <w:rPr>
          <w:i/>
        </w:rPr>
        <w:t>specialist cancer treatment centres</w:t>
      </w:r>
      <w:r w:rsidR="004F1921">
        <w:rPr>
          <w:i/>
        </w:rPr>
        <w:t>.</w:t>
      </w:r>
    </w:p>
    <w:p w14:paraId="75F7C5C0" w14:textId="351E329E" w:rsidR="00A2627B" w:rsidRPr="00E16167" w:rsidRDefault="0058557F" w:rsidP="00A2627B">
      <w:pPr>
        <w:jc w:val="both"/>
        <w:rPr>
          <w:i/>
        </w:rPr>
      </w:pPr>
      <w:r>
        <w:rPr>
          <w:i/>
        </w:rPr>
        <w:t>“</w:t>
      </w:r>
      <w:r w:rsidR="00C660DC">
        <w:rPr>
          <w:i/>
        </w:rPr>
        <w:t>We anticipate continued growth in 2016, with sales ahead by 3</w:t>
      </w:r>
      <w:r w:rsidR="009B5649">
        <w:rPr>
          <w:i/>
        </w:rPr>
        <w:t>%</w:t>
      </w:r>
      <w:r w:rsidR="00C660DC">
        <w:rPr>
          <w:i/>
        </w:rPr>
        <w:t xml:space="preserve"> to 5% and EBITDA margins in line with 2015. We continue to expect growth rates in the med</w:t>
      </w:r>
      <w:r w:rsidR="003B5D99">
        <w:rPr>
          <w:i/>
        </w:rPr>
        <w:t>ium term to exceed this range</w:t>
      </w:r>
      <w:r w:rsidR="007910D4">
        <w:rPr>
          <w:i/>
        </w:rPr>
        <w:t xml:space="preserve"> as</w:t>
      </w:r>
      <w:r w:rsidR="00C660DC">
        <w:rPr>
          <w:i/>
        </w:rPr>
        <w:t xml:space="preserve"> demand from all </w:t>
      </w:r>
      <w:r w:rsidR="00C52F7B">
        <w:rPr>
          <w:i/>
        </w:rPr>
        <w:t>three</w:t>
      </w:r>
      <w:r w:rsidR="00C660DC">
        <w:rPr>
          <w:i/>
        </w:rPr>
        <w:t xml:space="preserve"> of our </w:t>
      </w:r>
      <w:proofErr w:type="spellStart"/>
      <w:r w:rsidR="00C660DC">
        <w:rPr>
          <w:i/>
        </w:rPr>
        <w:t>payor</w:t>
      </w:r>
      <w:proofErr w:type="spellEnd"/>
      <w:r w:rsidR="00C660DC">
        <w:rPr>
          <w:i/>
        </w:rPr>
        <w:t xml:space="preserve"> groups rises</w:t>
      </w:r>
      <w:r w:rsidR="00E16167" w:rsidRPr="002073DB">
        <w:rPr>
          <w:i/>
        </w:rPr>
        <w:t>.</w:t>
      </w:r>
      <w:r w:rsidR="00A2627B" w:rsidRPr="00E16167">
        <w:rPr>
          <w:i/>
        </w:rPr>
        <w:t>”</w:t>
      </w:r>
    </w:p>
    <w:p w14:paraId="7D4B26EF" w14:textId="77777777" w:rsidR="00733CB1" w:rsidRDefault="00733CB1" w:rsidP="000920B9"/>
    <w:p w14:paraId="2A1DEC99" w14:textId="23147512" w:rsidR="007B32B8" w:rsidRPr="00716EDB" w:rsidRDefault="007B32B8" w:rsidP="000920B9">
      <w:r w:rsidRPr="00716EDB">
        <w:t>For further information please contact:</w:t>
      </w:r>
    </w:p>
    <w:p w14:paraId="590A6BF8" w14:textId="77777777" w:rsidR="007B32B8" w:rsidRPr="00716EDB" w:rsidRDefault="007B32B8" w:rsidP="000920B9">
      <w:r w:rsidRPr="00716EDB">
        <w:rPr>
          <w:b/>
          <w:bCs/>
        </w:rPr>
        <w:t>Spire Healthcare</w:t>
      </w:r>
      <w:r w:rsidR="000920B9">
        <w:rPr>
          <w:b/>
          <w:bCs/>
        </w:rPr>
        <w:br/>
      </w:r>
      <w:r w:rsidRPr="00716EDB">
        <w:t xml:space="preserve">Antony </w:t>
      </w:r>
      <w:proofErr w:type="spellStart"/>
      <w:r w:rsidRPr="00716EDB">
        <w:t>Mannion</w:t>
      </w:r>
      <w:proofErr w:type="spellEnd"/>
      <w:r w:rsidRPr="00716EDB">
        <w:t>, Investor Relations Director</w:t>
      </w:r>
      <w:r w:rsidRPr="00716EDB">
        <w:br/>
        <w:t>+44 (0)20 7427 9160</w:t>
      </w:r>
    </w:p>
    <w:p w14:paraId="7B2B295E" w14:textId="77777777" w:rsidR="00A2627B" w:rsidRDefault="007B32B8" w:rsidP="00A2627B">
      <w:r w:rsidRPr="00716EDB">
        <w:rPr>
          <w:b/>
          <w:bCs/>
        </w:rPr>
        <w:t>Maitland</w:t>
      </w:r>
      <w:r w:rsidR="000920B9">
        <w:rPr>
          <w:b/>
          <w:bCs/>
        </w:rPr>
        <w:br/>
      </w:r>
      <w:r w:rsidR="00A2627B">
        <w:t>Tom Eckersley</w:t>
      </w:r>
      <w:r w:rsidR="00A2627B" w:rsidRPr="00716EDB">
        <w:t xml:space="preserve"> </w:t>
      </w:r>
      <w:r w:rsidR="00A2627B" w:rsidRPr="00716EDB">
        <w:br/>
        <w:t>+44 (0)20 73</w:t>
      </w:r>
      <w:r w:rsidR="00A2627B">
        <w:t>7</w:t>
      </w:r>
      <w:r w:rsidR="00A2627B" w:rsidRPr="00716EDB">
        <w:t xml:space="preserve">9 </w:t>
      </w:r>
      <w:r w:rsidR="00A2627B">
        <w:t>5151</w:t>
      </w:r>
    </w:p>
    <w:p w14:paraId="579900E4" w14:textId="77777777" w:rsidR="00B223E7" w:rsidRPr="00716EDB" w:rsidDel="00204F2F" w:rsidRDefault="00B223E7" w:rsidP="00B2361E">
      <w:pPr>
        <w:pStyle w:val="Heading3"/>
        <w:rPr>
          <w:u w:color="76923C"/>
        </w:rPr>
      </w:pPr>
      <w:r w:rsidRPr="00716EDB" w:rsidDel="00204F2F">
        <w:rPr>
          <w:u w:color="76923C"/>
        </w:rPr>
        <w:t>Registered office and head office</w:t>
      </w:r>
      <w:r w:rsidRPr="00716EDB">
        <w:rPr>
          <w:u w:color="76923C"/>
        </w:rPr>
        <w:t>:</w:t>
      </w:r>
    </w:p>
    <w:p w14:paraId="23C41D3F" w14:textId="77777777" w:rsidR="00B223E7" w:rsidRPr="00716EDB" w:rsidDel="00204F2F" w:rsidRDefault="00B223E7" w:rsidP="000920B9">
      <w:r w:rsidRPr="00716EDB" w:rsidDel="00204F2F">
        <w:t>Spire Healthcare Group plc</w:t>
      </w:r>
      <w:r w:rsidR="000920B9">
        <w:br/>
      </w:r>
      <w:r w:rsidRPr="00716EDB" w:rsidDel="00204F2F">
        <w:t>3 Dorset Rise</w:t>
      </w:r>
      <w:r w:rsidR="000920B9">
        <w:br/>
      </w:r>
      <w:r w:rsidRPr="00716EDB" w:rsidDel="00204F2F">
        <w:t>London</w:t>
      </w:r>
      <w:r w:rsidR="000920B9">
        <w:br/>
      </w:r>
      <w:r w:rsidRPr="00716EDB" w:rsidDel="00204F2F">
        <w:t>EC4Y 8EN</w:t>
      </w:r>
    </w:p>
    <w:p w14:paraId="35A2BB60" w14:textId="77777777" w:rsidR="007B32B8" w:rsidRPr="00716EDB" w:rsidRDefault="00B223E7" w:rsidP="000920B9">
      <w:r w:rsidRPr="00716EDB" w:rsidDel="00204F2F">
        <w:rPr>
          <w:bCs/>
          <w:lang w:eastAsia="en-GB"/>
        </w:rPr>
        <w:t>Registered number 9084066</w:t>
      </w:r>
    </w:p>
    <w:p w14:paraId="714E90BC" w14:textId="77777777" w:rsidR="00733CB1" w:rsidRDefault="00733CB1">
      <w:pPr>
        <w:spacing w:after="160" w:line="259" w:lineRule="auto"/>
        <w:rPr>
          <w:rFonts w:asciiTheme="majorHAnsi" w:eastAsiaTheme="majorEastAsia" w:hAnsiTheme="majorHAnsi" w:cstheme="majorBidi"/>
          <w:b/>
          <w:caps/>
          <w:color w:val="93B6BB"/>
          <w:szCs w:val="24"/>
        </w:rPr>
      </w:pPr>
      <w:r>
        <w:br w:type="page"/>
      </w:r>
    </w:p>
    <w:p w14:paraId="3EFB2246" w14:textId="4721A89E" w:rsidR="00B223E7" w:rsidRPr="00B223E7" w:rsidRDefault="00B223E7" w:rsidP="00B2361E">
      <w:pPr>
        <w:pStyle w:val="Heading3"/>
      </w:pPr>
      <w:r w:rsidRPr="00B223E7">
        <w:lastRenderedPageBreak/>
        <w:t>Notes</w:t>
      </w:r>
    </w:p>
    <w:p w14:paraId="35C40EAC" w14:textId="000FA5D6" w:rsidR="005216B3" w:rsidRDefault="000A1A6D" w:rsidP="00DC4685">
      <w:pPr>
        <w:pStyle w:val="Footnote"/>
        <w:spacing w:line="240" w:lineRule="auto"/>
        <w:jc w:val="both"/>
        <w:rPr>
          <w:lang w:eastAsia="en-GB"/>
        </w:rPr>
      </w:pPr>
      <w:r>
        <w:rPr>
          <w:lang w:eastAsia="en-GB"/>
        </w:rPr>
        <w:t>1</w:t>
      </w:r>
      <w:r w:rsidR="000920B9">
        <w:rPr>
          <w:lang w:eastAsia="en-GB"/>
        </w:rPr>
        <w:tab/>
      </w:r>
      <w:r w:rsidR="00745F0A">
        <w:rPr>
          <w:lang w:eastAsia="en-GB"/>
        </w:rPr>
        <w:t>Excludes</w:t>
      </w:r>
      <w:r w:rsidR="00745F0A" w:rsidRPr="007164CD">
        <w:rPr>
          <w:lang w:eastAsia="en-GB"/>
        </w:rPr>
        <w:t xml:space="preserve"> </w:t>
      </w:r>
      <w:r w:rsidR="00FD2FA8">
        <w:rPr>
          <w:lang w:eastAsia="en-GB"/>
        </w:rPr>
        <w:t xml:space="preserve">the impact of Spire St Saviour’s Hospital closed in September 2015, </w:t>
      </w:r>
      <w:r w:rsidR="00745F0A">
        <w:rPr>
          <w:lang w:eastAsia="en-GB"/>
        </w:rPr>
        <w:t>St Anthony’s Hospital acquired on 22 May 2014</w:t>
      </w:r>
      <w:r w:rsidR="00FD2FA8">
        <w:rPr>
          <w:lang w:eastAsia="en-GB"/>
        </w:rPr>
        <w:t>,</w:t>
      </w:r>
      <w:r w:rsidR="00745F0A">
        <w:rPr>
          <w:lang w:eastAsia="en-GB"/>
        </w:rPr>
        <w:t xml:space="preserve"> and the disposal of trade and assets of the fertility business on 15 August 2014</w:t>
      </w:r>
      <w:r w:rsidR="00FD2FA8">
        <w:rPr>
          <w:lang w:eastAsia="en-GB"/>
        </w:rPr>
        <w:t xml:space="preserve"> (referred to as ‘Underlying’ in this announcement)</w:t>
      </w:r>
      <w:r w:rsidR="00745F0A">
        <w:rPr>
          <w:lang w:eastAsia="en-GB"/>
        </w:rPr>
        <w:t>.</w:t>
      </w:r>
    </w:p>
    <w:p w14:paraId="14AB794C" w14:textId="40B3E136" w:rsidR="00781DDB" w:rsidRDefault="000A1A6D" w:rsidP="00DC4685">
      <w:pPr>
        <w:pStyle w:val="Footnote"/>
        <w:spacing w:line="240" w:lineRule="auto"/>
        <w:jc w:val="both"/>
        <w:rPr>
          <w:lang w:eastAsia="en-GB"/>
        </w:rPr>
      </w:pPr>
      <w:r>
        <w:rPr>
          <w:lang w:eastAsia="en-GB"/>
        </w:rPr>
        <w:t>2</w:t>
      </w:r>
      <w:r w:rsidR="00781DDB">
        <w:rPr>
          <w:lang w:eastAsia="en-GB"/>
        </w:rPr>
        <w:tab/>
      </w:r>
      <w:r w:rsidR="00745F0A" w:rsidRPr="00B2361E">
        <w:t>Operating profit, adjusted to add back depreciation and exceptional items</w:t>
      </w:r>
      <w:r w:rsidR="00745F0A">
        <w:t>,</w:t>
      </w:r>
      <w:r w:rsidR="00745F0A" w:rsidRPr="00B2361E">
        <w:t xml:space="preserve"> referred to hereafter as ‘Adjusted EBITDA’</w:t>
      </w:r>
      <w:r w:rsidR="00745F0A">
        <w:t xml:space="preserve"> (2014 EBITDA </w:t>
      </w:r>
      <w:r w:rsidR="00745F0A" w:rsidRPr="00D244FC">
        <w:rPr>
          <w:lang w:eastAsia="en-GB"/>
        </w:rPr>
        <w:t>adjusted to</w:t>
      </w:r>
      <w:r w:rsidR="00745F0A">
        <w:rPr>
          <w:lang w:eastAsia="en-GB"/>
        </w:rPr>
        <w:t xml:space="preserve"> </w:t>
      </w:r>
      <w:r w:rsidR="00745F0A" w:rsidRPr="00B2361E">
        <w:t>conform the property rental base</w:t>
      </w:r>
      <w:r w:rsidR="00745F0A">
        <w:t xml:space="preserve"> and </w:t>
      </w:r>
      <w:r w:rsidR="00745F0A">
        <w:rPr>
          <w:lang w:eastAsia="en-GB"/>
        </w:rPr>
        <w:t>PLC operating costs</w:t>
      </w:r>
      <w:r w:rsidR="00E02329">
        <w:rPr>
          <w:lang w:eastAsia="en-GB"/>
        </w:rPr>
        <w:t xml:space="preserve"> base</w:t>
      </w:r>
      <w:r w:rsidR="00745F0A">
        <w:t>).</w:t>
      </w:r>
    </w:p>
    <w:p w14:paraId="0150BFE7" w14:textId="35F87C8D" w:rsidR="00135976" w:rsidRPr="007164CD" w:rsidRDefault="000A1A6D" w:rsidP="00DC4685">
      <w:pPr>
        <w:pStyle w:val="Footnote"/>
        <w:spacing w:line="240" w:lineRule="auto"/>
        <w:jc w:val="both"/>
        <w:rPr>
          <w:lang w:eastAsia="en-GB"/>
        </w:rPr>
      </w:pPr>
      <w:r>
        <w:rPr>
          <w:lang w:eastAsia="en-GB"/>
        </w:rPr>
        <w:t>3</w:t>
      </w:r>
      <w:r w:rsidR="00135976">
        <w:rPr>
          <w:lang w:eastAsia="en-GB"/>
        </w:rPr>
        <w:tab/>
      </w:r>
      <w:r w:rsidR="00745F0A">
        <w:rPr>
          <w:lang w:eastAsia="en-GB"/>
        </w:rPr>
        <w:t>Operating profit, adjusted to add back exceptional items, referred to hereafter as ‘Adjusted operating profit before exceptional items’ (2014 operating profit adjusted to conform the prop</w:t>
      </w:r>
      <w:r w:rsidR="00D4703B">
        <w:rPr>
          <w:lang w:eastAsia="en-GB"/>
        </w:rPr>
        <w:t xml:space="preserve">erty rental base and </w:t>
      </w:r>
      <w:r w:rsidR="00745F0A">
        <w:rPr>
          <w:lang w:eastAsia="en-GB"/>
        </w:rPr>
        <w:t>PLC operating costs</w:t>
      </w:r>
      <w:r w:rsidR="00D4703B">
        <w:rPr>
          <w:lang w:eastAsia="en-GB"/>
        </w:rPr>
        <w:t xml:space="preserve"> base</w:t>
      </w:r>
      <w:r w:rsidR="00745F0A">
        <w:rPr>
          <w:lang w:eastAsia="en-GB"/>
        </w:rPr>
        <w:t>)</w:t>
      </w:r>
      <w:r w:rsidR="00745F0A" w:rsidRPr="007164CD">
        <w:rPr>
          <w:lang w:eastAsia="en-GB"/>
        </w:rPr>
        <w:t>.</w:t>
      </w:r>
    </w:p>
    <w:p w14:paraId="478194A0" w14:textId="75F69EC1" w:rsidR="00B223E7" w:rsidRDefault="000A1A6D" w:rsidP="00DC4685">
      <w:pPr>
        <w:pStyle w:val="Footnote"/>
        <w:spacing w:line="240" w:lineRule="auto"/>
        <w:jc w:val="both"/>
        <w:rPr>
          <w:lang w:eastAsia="en-GB"/>
        </w:rPr>
      </w:pPr>
      <w:r>
        <w:rPr>
          <w:lang w:eastAsia="en-GB"/>
        </w:rPr>
        <w:t>4</w:t>
      </w:r>
      <w:r w:rsidR="000920B9">
        <w:rPr>
          <w:lang w:eastAsia="en-GB"/>
        </w:rPr>
        <w:tab/>
      </w:r>
      <w:r w:rsidR="00745F0A">
        <w:rPr>
          <w:lang w:eastAsia="en-GB"/>
        </w:rPr>
        <w:t>P</w:t>
      </w:r>
      <w:r w:rsidR="00745F0A" w:rsidRPr="000C59AA">
        <w:rPr>
          <w:lang w:eastAsia="en-GB"/>
        </w:rPr>
        <w:t xml:space="preserve">ro-forma profit is calculated as earnings after tax adjusted </w:t>
      </w:r>
      <w:r w:rsidR="00745F0A">
        <w:rPr>
          <w:lang w:eastAsia="en-GB"/>
        </w:rPr>
        <w:t xml:space="preserve">for </w:t>
      </w:r>
      <w:r w:rsidR="00745F0A" w:rsidRPr="000C59AA">
        <w:rPr>
          <w:lang w:eastAsia="en-GB"/>
        </w:rPr>
        <w:t>exceptional items</w:t>
      </w:r>
      <w:r w:rsidR="00745F0A">
        <w:rPr>
          <w:lang w:eastAsia="en-GB"/>
        </w:rPr>
        <w:t>. For 2014, p</w:t>
      </w:r>
      <w:r w:rsidR="00745F0A" w:rsidRPr="000C59AA">
        <w:rPr>
          <w:lang w:eastAsia="en-GB"/>
        </w:rPr>
        <w:t xml:space="preserve">ro-forma profit is calculated as earnings after tax adjusted </w:t>
      </w:r>
      <w:r w:rsidR="00745F0A">
        <w:rPr>
          <w:lang w:eastAsia="en-GB"/>
        </w:rPr>
        <w:t>for the capital restructuring</w:t>
      </w:r>
      <w:r w:rsidR="00745F0A" w:rsidRPr="000C59AA">
        <w:rPr>
          <w:lang w:eastAsia="en-GB"/>
        </w:rPr>
        <w:t>, exceptional items</w:t>
      </w:r>
      <w:r w:rsidR="00745F0A">
        <w:rPr>
          <w:lang w:eastAsia="en-GB"/>
        </w:rPr>
        <w:t>, to conform the property rental base, PLC operating costs</w:t>
      </w:r>
      <w:r w:rsidR="00745F0A" w:rsidRPr="000C59AA">
        <w:rPr>
          <w:lang w:eastAsia="en-GB"/>
        </w:rPr>
        <w:t xml:space="preserve"> and </w:t>
      </w:r>
      <w:r w:rsidR="00745F0A" w:rsidRPr="00B2361E">
        <w:t xml:space="preserve">the net profit arising on the </w:t>
      </w:r>
      <w:r w:rsidR="00745F0A">
        <w:t>sale of property and other assets</w:t>
      </w:r>
      <w:r w:rsidR="00B223E7" w:rsidRPr="007164CD">
        <w:rPr>
          <w:lang w:eastAsia="en-GB"/>
        </w:rPr>
        <w:t>.</w:t>
      </w:r>
    </w:p>
    <w:p w14:paraId="512F9F9B" w14:textId="6BCE2C31" w:rsidR="00B223E7" w:rsidRDefault="000A1A6D" w:rsidP="00DC4685">
      <w:pPr>
        <w:pStyle w:val="Footnote"/>
        <w:jc w:val="both"/>
      </w:pPr>
      <w:r>
        <w:rPr>
          <w:lang w:eastAsia="en-GB"/>
        </w:rPr>
        <w:t>5</w:t>
      </w:r>
      <w:r w:rsidR="000920B9">
        <w:rPr>
          <w:lang w:eastAsia="en-GB"/>
        </w:rPr>
        <w:tab/>
      </w:r>
      <w:r w:rsidR="00625405">
        <w:rPr>
          <w:lang w:eastAsia="en-GB"/>
        </w:rPr>
        <w:t xml:space="preserve">Calculated as pro-forma profit after tax divided by the number of ordinary shares in issue. </w:t>
      </w:r>
      <w:r w:rsidR="00745F0A">
        <w:t xml:space="preserve">For 2014, </w:t>
      </w:r>
      <w:r w:rsidR="00625405">
        <w:t xml:space="preserve">the number of </w:t>
      </w:r>
      <w:r w:rsidR="00745F0A">
        <w:rPr>
          <w:lang w:eastAsia="en-GB"/>
        </w:rPr>
        <w:t xml:space="preserve">ordinary shares in issue </w:t>
      </w:r>
      <w:r w:rsidR="00625405">
        <w:rPr>
          <w:lang w:eastAsia="en-GB"/>
        </w:rPr>
        <w:t xml:space="preserve">was the number on </w:t>
      </w:r>
      <w:r w:rsidR="00745F0A">
        <w:rPr>
          <w:lang w:eastAsia="en-GB"/>
        </w:rPr>
        <w:t xml:space="preserve">Admission of </w:t>
      </w:r>
      <w:r w:rsidR="00745F0A" w:rsidRPr="002F46D8">
        <w:rPr>
          <w:lang w:eastAsia="en-GB"/>
        </w:rPr>
        <w:t>4</w:t>
      </w:r>
      <w:r w:rsidR="00745F0A" w:rsidRPr="002F46D8">
        <w:t>01,081,391 shares</w:t>
      </w:r>
      <w:r w:rsidR="00745F0A">
        <w:t>.</w:t>
      </w:r>
    </w:p>
    <w:p w14:paraId="474D1C40" w14:textId="3C16CECC" w:rsidR="00D90AA8" w:rsidRDefault="00D90AA8" w:rsidP="00D90AA8">
      <w:pPr>
        <w:pStyle w:val="Footnote"/>
        <w:jc w:val="both"/>
        <w:rPr>
          <w:lang w:eastAsia="en-GB"/>
        </w:rPr>
      </w:pPr>
      <w:r w:rsidRPr="009E2BFB">
        <w:rPr>
          <w:lang w:eastAsia="en-GB"/>
        </w:rPr>
        <w:t>6</w:t>
      </w:r>
      <w:r w:rsidRPr="009E2BFB">
        <w:rPr>
          <w:lang w:eastAsia="en-GB"/>
        </w:rPr>
        <w:tab/>
        <w:t>A final dividend of 2.4 pence per ordinary share will be proposed at the Company’s annual general meeting in May 2016. If approved, it will be paid on 28 June 2016</w:t>
      </w:r>
      <w:r>
        <w:rPr>
          <w:lang w:eastAsia="en-GB"/>
        </w:rPr>
        <w:t xml:space="preserve"> to shareholders on the register of members as at 3 June 2016</w:t>
      </w:r>
      <w:r>
        <w:t>.</w:t>
      </w:r>
    </w:p>
    <w:p w14:paraId="19F16DDE" w14:textId="4B27BD61" w:rsidR="00F87231" w:rsidRDefault="00D90AA8" w:rsidP="00F87231">
      <w:pPr>
        <w:pStyle w:val="Footnote"/>
        <w:jc w:val="both"/>
        <w:rPr>
          <w:lang w:eastAsia="en-GB"/>
        </w:rPr>
      </w:pPr>
      <w:r>
        <w:rPr>
          <w:lang w:eastAsia="en-GB"/>
        </w:rPr>
        <w:t>7</w:t>
      </w:r>
      <w:r w:rsidR="00F87231">
        <w:rPr>
          <w:lang w:eastAsia="en-GB"/>
        </w:rPr>
        <w:tab/>
      </w:r>
      <w:r>
        <w:rPr>
          <w:lang w:eastAsia="en-GB"/>
        </w:rPr>
        <w:t>Operating cash flow adjusted to add back the cash flow effect of exceptional items</w:t>
      </w:r>
      <w:r w:rsidR="00FC5C58">
        <w:rPr>
          <w:lang w:eastAsia="en-GB"/>
        </w:rPr>
        <w:t xml:space="preserve"> and income tax</w:t>
      </w:r>
      <w:r w:rsidR="00F87231">
        <w:t>.</w:t>
      </w:r>
    </w:p>
    <w:p w14:paraId="2F5B47E8" w14:textId="77777777" w:rsidR="00705169" w:rsidRDefault="00705169" w:rsidP="00D73661">
      <w:pPr>
        <w:pStyle w:val="Heading3"/>
        <w:keepNext w:val="0"/>
        <w:keepLines w:val="0"/>
      </w:pPr>
    </w:p>
    <w:p w14:paraId="2B0AE336" w14:textId="4CBA1E98" w:rsidR="007B32B8" w:rsidRPr="00B2361E" w:rsidRDefault="007B32B8" w:rsidP="00D73661">
      <w:pPr>
        <w:pStyle w:val="Heading3"/>
        <w:keepNext w:val="0"/>
        <w:keepLines w:val="0"/>
      </w:pPr>
      <w:r w:rsidRPr="00B2361E">
        <w:t>About Spire</w:t>
      </w:r>
      <w:r w:rsidR="00EA4E2D">
        <w:t xml:space="preserve"> HEALTHCARE</w:t>
      </w:r>
    </w:p>
    <w:p w14:paraId="5BBB69A7" w14:textId="21CD47E2" w:rsidR="007B32B8" w:rsidRPr="00716EDB" w:rsidRDefault="00F8612D" w:rsidP="003A204E">
      <w:pPr>
        <w:jc w:val="both"/>
      </w:pPr>
      <w:r w:rsidRPr="00716EDB">
        <w:t xml:space="preserve">Spire </w:t>
      </w:r>
      <w:r w:rsidR="003052F2">
        <w:t xml:space="preserve">Healthcare </w:t>
      </w:r>
      <w:r w:rsidRPr="00716EDB">
        <w:t>is a leading independent hospital group in the United Kingdom, with 3</w:t>
      </w:r>
      <w:r w:rsidR="008D310A">
        <w:t>8</w:t>
      </w:r>
      <w:r w:rsidRPr="00716EDB">
        <w:t xml:space="preserve"> </w:t>
      </w:r>
      <w:r w:rsidR="00DF2ADF">
        <w:t xml:space="preserve">private </w:t>
      </w:r>
      <w:r w:rsidRPr="00716EDB">
        <w:t>hospitals</w:t>
      </w:r>
      <w:r w:rsidR="00DF2ADF">
        <w:t>,</w:t>
      </w:r>
      <w:r w:rsidRPr="00716EDB">
        <w:t xml:space="preserve"> 1</w:t>
      </w:r>
      <w:r w:rsidR="008D310A">
        <w:t>2</w:t>
      </w:r>
      <w:r w:rsidRPr="00716EDB">
        <w:t xml:space="preserve"> clinics </w:t>
      </w:r>
      <w:r w:rsidR="00DF2ADF">
        <w:t xml:space="preserve">and two </w:t>
      </w:r>
      <w:r w:rsidR="0067419A">
        <w:t>Specialist</w:t>
      </w:r>
      <w:r w:rsidR="00DF2ADF">
        <w:t xml:space="preserve"> </w:t>
      </w:r>
      <w:r w:rsidR="005D4FF1">
        <w:t xml:space="preserve">Cancer </w:t>
      </w:r>
      <w:r w:rsidR="0067419A">
        <w:t>Care C</w:t>
      </w:r>
      <w:r w:rsidR="00DF2ADF">
        <w:t xml:space="preserve">entres </w:t>
      </w:r>
      <w:r w:rsidRPr="00716EDB">
        <w:t xml:space="preserve">across England, Wales and Scotland. The Group delivered tailored, personalised care to </w:t>
      </w:r>
      <w:r w:rsidRPr="008D310A">
        <w:t>2</w:t>
      </w:r>
      <w:r w:rsidR="00384C7B" w:rsidRPr="008D310A">
        <w:t>7</w:t>
      </w:r>
      <w:r w:rsidR="00DF0488" w:rsidRPr="008D310A">
        <w:t>0</w:t>
      </w:r>
      <w:r w:rsidRPr="008D310A">
        <w:t>,000</w:t>
      </w:r>
      <w:r w:rsidRPr="00716EDB">
        <w:t xml:space="preserve"> in-patients and daycase patients in 201</w:t>
      </w:r>
      <w:r w:rsidR="00DF2ADF">
        <w:t>5</w:t>
      </w:r>
      <w:r w:rsidRPr="00716EDB">
        <w:t xml:space="preserve">, and is the leading </w:t>
      </w:r>
      <w:r w:rsidR="007E1554">
        <w:t xml:space="preserve">independent </w:t>
      </w:r>
      <w:r w:rsidRPr="00716EDB">
        <w:t>provider</w:t>
      </w:r>
      <w:r w:rsidR="005E1A00">
        <w:t>,</w:t>
      </w:r>
      <w:r w:rsidRPr="00716EDB">
        <w:t xml:space="preserve"> by volume</w:t>
      </w:r>
      <w:r w:rsidR="005E1A00">
        <w:t>,</w:t>
      </w:r>
      <w:r w:rsidRPr="00716EDB">
        <w:t xml:space="preserve"> of knee and hip operations in the United Kingdom</w:t>
      </w:r>
      <w:r w:rsidR="003A204E">
        <w:t>.</w:t>
      </w:r>
    </w:p>
    <w:p w14:paraId="1EE14E76" w14:textId="77777777" w:rsidR="00705169" w:rsidRDefault="00705169" w:rsidP="00DC4685">
      <w:pPr>
        <w:pStyle w:val="Heading3"/>
        <w:jc w:val="both"/>
        <w:sectPr w:rsidR="00705169" w:rsidSect="00086DBB">
          <w:footerReference w:type="default" r:id="rId9"/>
          <w:pgSz w:w="11906" w:h="16838" w:code="9"/>
          <w:pgMar w:top="1440" w:right="1440" w:bottom="1440" w:left="1440" w:header="709" w:footer="709" w:gutter="0"/>
          <w:cols w:space="708"/>
          <w:docGrid w:linePitch="360"/>
        </w:sectPr>
      </w:pPr>
    </w:p>
    <w:p w14:paraId="3FD1201B" w14:textId="63A3D2F8" w:rsidR="007B32B8" w:rsidRDefault="007B32B8" w:rsidP="00B2361E">
      <w:pPr>
        <w:pStyle w:val="Heading3"/>
      </w:pPr>
      <w:r>
        <w:lastRenderedPageBreak/>
        <w:t>Cautionary statement</w:t>
      </w:r>
    </w:p>
    <w:p w14:paraId="45E27B09" w14:textId="4B7A4AAC" w:rsidR="001A2E40" w:rsidRDefault="001A2E40" w:rsidP="00DC4685">
      <w:pPr>
        <w:jc w:val="both"/>
      </w:pPr>
      <w:r>
        <w:rPr>
          <w:lang w:val="en-US"/>
        </w:rPr>
        <w:t>Th</w:t>
      </w:r>
      <w:r w:rsidR="00216851">
        <w:rPr>
          <w:lang w:val="en-US"/>
        </w:rPr>
        <w:t>is preliminary announcement</w:t>
      </w:r>
      <w:r>
        <w:rPr>
          <w:lang w:val="en-US"/>
        </w:rPr>
        <w:t xml:space="preserve"> contain</w:t>
      </w:r>
      <w:r w:rsidR="00216851">
        <w:rPr>
          <w:lang w:val="en-US"/>
        </w:rPr>
        <w:t>s</w:t>
      </w:r>
      <w:r>
        <w:rPr>
          <w:lang w:val="en-US"/>
        </w:rPr>
        <w:t xml:space="preserve"> certain forward-looking statements relating to the business of Spire Healthcare Group plc (the “Company”)</w:t>
      </w:r>
      <w:r w:rsidR="008D310A">
        <w:rPr>
          <w:lang w:val="en-US"/>
        </w:rPr>
        <w:t xml:space="preserve"> and its subsidiaries (collectively, the “Group”)</w:t>
      </w:r>
      <w:r>
        <w:rPr>
          <w:lang w:val="en-US"/>
        </w:rPr>
        <w:t xml:space="preserve">, including with respect to the progress, timing and completion of the </w:t>
      </w:r>
      <w:r w:rsidR="008D310A">
        <w:rPr>
          <w:lang w:val="en-US"/>
        </w:rPr>
        <w:t>Group</w:t>
      </w:r>
      <w:r>
        <w:rPr>
          <w:lang w:val="en-US"/>
        </w:rPr>
        <w:t xml:space="preserve">’s development, the </w:t>
      </w:r>
      <w:r w:rsidR="008D310A">
        <w:rPr>
          <w:lang w:val="en-US"/>
        </w:rPr>
        <w:t>Group</w:t>
      </w:r>
      <w:r>
        <w:rPr>
          <w:lang w:val="en-US"/>
        </w:rPr>
        <w:t xml:space="preserve">’s ability to treat, attract, and retain patients and customers, its ability to engage consultants and GPs and to operate its business and increase referrals, the integration of prior acquisitions, the </w:t>
      </w:r>
      <w:r w:rsidR="008D310A">
        <w:rPr>
          <w:lang w:val="en-US"/>
        </w:rPr>
        <w:t>Group</w:t>
      </w:r>
      <w:r>
        <w:rPr>
          <w:lang w:val="en-US"/>
        </w:rPr>
        <w:t xml:space="preserve">’s estimates for future performance and its estimates regarding anticipated operating results, future revenue, capital requirements, shareholder structure and financing. In addition, even if the </w:t>
      </w:r>
      <w:r w:rsidR="008D310A">
        <w:rPr>
          <w:lang w:val="en-US"/>
        </w:rPr>
        <w:t>Group</w:t>
      </w:r>
      <w:r>
        <w:rPr>
          <w:lang w:val="en-US"/>
        </w:rPr>
        <w:t xml:space="preserve">’s actual results or development are consistent with the forward-looking statements contained in this </w:t>
      </w:r>
      <w:r w:rsidR="00464A17">
        <w:rPr>
          <w:lang w:val="en-US"/>
        </w:rPr>
        <w:t>preliminary announcement</w:t>
      </w:r>
      <w:r>
        <w:rPr>
          <w:lang w:val="en-US"/>
        </w:rPr>
        <w:t xml:space="preserve">, those results or developments may not be indicative of the </w:t>
      </w:r>
      <w:r w:rsidR="008D310A">
        <w:rPr>
          <w:lang w:val="en-US"/>
        </w:rPr>
        <w:t>Group</w:t>
      </w:r>
      <w:r>
        <w:rPr>
          <w:lang w:val="en-US"/>
        </w:rPr>
        <w:t xml:space="preserve">’s results or developments in the future. In some cases, you can identify forward-looking statements by words such as “could,” “should,” “may,” “expects,” “aims,” “targets,” “anticipates,” “believes,” “intends,” “estimates,” or similar words. These forward-looking statements are based largely on the </w:t>
      </w:r>
      <w:r w:rsidR="008D310A">
        <w:rPr>
          <w:lang w:val="en-US"/>
        </w:rPr>
        <w:t xml:space="preserve">Group’s </w:t>
      </w:r>
      <w:r>
        <w:rPr>
          <w:lang w:val="en-US"/>
        </w:rPr>
        <w:t>current expectat</w:t>
      </w:r>
      <w:r w:rsidR="00464A17">
        <w:rPr>
          <w:lang w:val="en-US"/>
        </w:rPr>
        <w:t>ions as of the date of this preliminary announcement</w:t>
      </w:r>
      <w:r>
        <w:rPr>
          <w:lang w:val="en-US"/>
        </w:rPr>
        <w:t xml:space="preserve"> and are subject to a number of known and unknown risks and uncertainties and other factors that may cause actual results, performance or achievements to be materially different from any future results, performance or achievement expressed or implied by these forward-looking statements. In particular, the </w:t>
      </w:r>
      <w:r w:rsidR="008D310A">
        <w:rPr>
          <w:lang w:val="en-US"/>
        </w:rPr>
        <w:t>Group</w:t>
      </w:r>
      <w:r>
        <w:rPr>
          <w:lang w:val="en-US"/>
        </w:rPr>
        <w:t xml:space="preserve">’s expectations could be affected by, among other things, uncertainties involved in the integration of acquisitions or new developments, changes in legislation or the regulatory regime governing healthcare in the UK, poor performance by consultants who practice at our facilities, unexpected regulatory actions or suspensions, competition in general, the impact of global economic changes, and the </w:t>
      </w:r>
      <w:r w:rsidR="00DE02C0">
        <w:rPr>
          <w:lang w:val="en-US"/>
        </w:rPr>
        <w:t>Group</w:t>
      </w:r>
      <w:r>
        <w:rPr>
          <w:lang w:val="en-US"/>
        </w:rPr>
        <w:t xml:space="preserve">’s ability to obtain or maintain accreditation or approval for its facilities or service lines. In light of these risks and uncertainties, there can be no assurance that the forward-looking statements made </w:t>
      </w:r>
      <w:r w:rsidR="00464A17">
        <w:rPr>
          <w:lang w:val="en-US"/>
        </w:rPr>
        <w:t>in</w:t>
      </w:r>
      <w:r>
        <w:rPr>
          <w:lang w:val="en-US"/>
        </w:rPr>
        <w:t xml:space="preserve"> this pre</w:t>
      </w:r>
      <w:r w:rsidR="00464A17">
        <w:rPr>
          <w:lang w:val="en-US"/>
        </w:rPr>
        <w:t>liminary a</w:t>
      </w:r>
      <w:r w:rsidR="00135D2F">
        <w:rPr>
          <w:lang w:val="en-US"/>
        </w:rPr>
        <w:t>nnouncement</w:t>
      </w:r>
      <w:r>
        <w:rPr>
          <w:lang w:val="en-US"/>
        </w:rPr>
        <w:t xml:space="preserve"> will in fact be </w:t>
      </w:r>
      <w:proofErr w:type="spellStart"/>
      <w:r>
        <w:rPr>
          <w:lang w:val="en-US"/>
        </w:rPr>
        <w:t>realised</w:t>
      </w:r>
      <w:proofErr w:type="spellEnd"/>
      <w:r>
        <w:rPr>
          <w:lang w:val="en-US"/>
        </w:rPr>
        <w:t xml:space="preserve"> and no representation or warranty is given as to the completeness or accuracy of the forward-looking statements contained in th</w:t>
      </w:r>
      <w:r w:rsidR="00464A17">
        <w:rPr>
          <w:lang w:val="en-US"/>
        </w:rPr>
        <w:t>is</w:t>
      </w:r>
      <w:r>
        <w:rPr>
          <w:lang w:val="en-US"/>
        </w:rPr>
        <w:t xml:space="preserve"> </w:t>
      </w:r>
      <w:r w:rsidR="00464A17">
        <w:rPr>
          <w:lang w:val="en-US"/>
        </w:rPr>
        <w:t>preliminary announcement</w:t>
      </w:r>
      <w:r>
        <w:rPr>
          <w:lang w:val="en-US"/>
        </w:rPr>
        <w:t>.</w:t>
      </w:r>
    </w:p>
    <w:p w14:paraId="1C96E961" w14:textId="6E5CBF5C" w:rsidR="001A2E40" w:rsidRDefault="001A2E40" w:rsidP="00DC4685">
      <w:pPr>
        <w:jc w:val="both"/>
      </w:pPr>
      <w:r>
        <w:rPr>
          <w:lang w:val="en-US"/>
        </w:rPr>
        <w:t xml:space="preserve">The </w:t>
      </w:r>
      <w:r w:rsidR="00DE02C0">
        <w:rPr>
          <w:lang w:val="en-US"/>
        </w:rPr>
        <w:t>Group</w:t>
      </w:r>
      <w:r>
        <w:rPr>
          <w:lang w:val="en-US"/>
        </w:rPr>
        <w:t xml:space="preserve"> is </w:t>
      </w:r>
      <w:r w:rsidR="00464A17">
        <w:rPr>
          <w:lang w:val="en-US"/>
        </w:rPr>
        <w:t>providing the information in this preliminary announcement</w:t>
      </w:r>
      <w:r>
        <w:rPr>
          <w:lang w:val="en-US"/>
        </w:rPr>
        <w:t xml:space="preserve"> as of this date, and we disclaim any intention or obligation to publicly update or revise any forward-looking statements, whether as a result of new information, future events or otherwise.</w:t>
      </w:r>
    </w:p>
    <w:p w14:paraId="53A5B121" w14:textId="77777777" w:rsidR="007B32B8" w:rsidRPr="00B2361E" w:rsidRDefault="007B32B8" w:rsidP="00B2361E">
      <w:pPr>
        <w:pStyle w:val="Heading3"/>
      </w:pPr>
      <w:r w:rsidRPr="00B2361E">
        <w:t>Analyst and investor meeting</w:t>
      </w:r>
    </w:p>
    <w:p w14:paraId="16891F20" w14:textId="75F71F2D" w:rsidR="007B32B8" w:rsidRPr="00716EDB" w:rsidRDefault="00AA69E9" w:rsidP="00DC4685">
      <w:pPr>
        <w:jc w:val="both"/>
      </w:pPr>
      <w:r w:rsidRPr="00F75B15">
        <w:t xml:space="preserve">There will be an analyst and investor meeting today at </w:t>
      </w:r>
      <w:r w:rsidR="00872101" w:rsidRPr="00872101">
        <w:t>9</w:t>
      </w:r>
      <w:r w:rsidRPr="00872101">
        <w:t>.</w:t>
      </w:r>
      <w:r w:rsidR="00872101" w:rsidRPr="00872101">
        <w:t>3</w:t>
      </w:r>
      <w:r w:rsidRPr="00872101">
        <w:t xml:space="preserve">0am at </w:t>
      </w:r>
      <w:r w:rsidR="00F25867" w:rsidRPr="00872101">
        <w:t>1</w:t>
      </w:r>
      <w:r w:rsidR="00872101" w:rsidRPr="00872101">
        <w:t>8</w:t>
      </w:r>
      <w:r w:rsidR="00F25867" w:rsidRPr="00872101">
        <w:t xml:space="preserve"> </w:t>
      </w:r>
      <w:r w:rsidR="00872101" w:rsidRPr="00872101">
        <w:t xml:space="preserve">Lincoln’s Inn Fields, </w:t>
      </w:r>
      <w:r w:rsidR="00F25867" w:rsidRPr="00872101">
        <w:t xml:space="preserve">London </w:t>
      </w:r>
      <w:r w:rsidR="00872101" w:rsidRPr="00872101">
        <w:t>W</w:t>
      </w:r>
      <w:r w:rsidR="00F25867" w:rsidRPr="00872101">
        <w:t>C</w:t>
      </w:r>
      <w:r w:rsidR="00872101" w:rsidRPr="00872101">
        <w:t>2A</w:t>
      </w:r>
      <w:r w:rsidR="00F25867" w:rsidRPr="00872101">
        <w:t xml:space="preserve"> </w:t>
      </w:r>
      <w:r w:rsidR="00872101" w:rsidRPr="00872101">
        <w:t>3ED</w:t>
      </w:r>
      <w:r w:rsidR="007B32B8" w:rsidRPr="00716EDB">
        <w:t>.</w:t>
      </w:r>
    </w:p>
    <w:p w14:paraId="4FF7051A" w14:textId="100D9FC0" w:rsidR="00B653A5" w:rsidRDefault="00DC4685" w:rsidP="00DC4685">
      <w:pPr>
        <w:jc w:val="both"/>
      </w:pPr>
      <w:r>
        <w:t xml:space="preserve">A live </w:t>
      </w:r>
      <w:proofErr w:type="spellStart"/>
      <w:r>
        <w:t>audio</w:t>
      </w:r>
      <w:r w:rsidR="00A351A0" w:rsidRPr="00716EDB">
        <w:t>cast</w:t>
      </w:r>
      <w:proofErr w:type="spellEnd"/>
      <w:r w:rsidR="00A351A0" w:rsidRPr="00716EDB">
        <w:t xml:space="preserve"> of the presentation will be available at </w:t>
      </w:r>
      <w:r w:rsidR="00872101" w:rsidRPr="00872101">
        <w:t xml:space="preserve">9.30am </w:t>
      </w:r>
      <w:r w:rsidR="00A351A0" w:rsidRPr="00716EDB">
        <w:t xml:space="preserve">from the Spire </w:t>
      </w:r>
      <w:r w:rsidR="00E16167">
        <w:t xml:space="preserve">Healthcare </w:t>
      </w:r>
      <w:r w:rsidR="00A351A0" w:rsidRPr="00716EDB">
        <w:t>website at</w:t>
      </w:r>
      <w:r w:rsidR="00872101">
        <w:t xml:space="preserve"> </w:t>
      </w:r>
      <w:hyperlink r:id="rId10" w:history="1">
        <w:r w:rsidR="00872101">
          <w:rPr>
            <w:rStyle w:val="Hyperlink"/>
          </w:rPr>
          <w:t>http://webcast.openbriefing.com/spire_healthcare_full_year_results_2015/</w:t>
        </w:r>
      </w:hyperlink>
      <w:r w:rsidR="00B653A5">
        <w:t>.</w:t>
      </w:r>
    </w:p>
    <w:p w14:paraId="257BC3D3" w14:textId="40CE3783" w:rsidR="00A351A0" w:rsidRPr="00716EDB" w:rsidRDefault="00A351A0" w:rsidP="000920B9"/>
    <w:p w14:paraId="4C3D0009" w14:textId="77777777" w:rsidR="003D7ADB" w:rsidRDefault="003D7ADB">
      <w:pPr>
        <w:spacing w:after="160" w:line="259" w:lineRule="auto"/>
        <w:rPr>
          <w:rFonts w:asciiTheme="majorHAnsi" w:eastAsiaTheme="majorEastAsia" w:hAnsiTheme="majorHAnsi" w:cstheme="majorBidi"/>
          <w:sz w:val="56"/>
          <w:szCs w:val="32"/>
        </w:rPr>
      </w:pPr>
      <w:r>
        <w:br w:type="page"/>
      </w:r>
    </w:p>
    <w:p w14:paraId="18144E25" w14:textId="03AE2E90" w:rsidR="0030201B" w:rsidRDefault="0039405A" w:rsidP="00D73661">
      <w:pPr>
        <w:pStyle w:val="Heading1"/>
      </w:pPr>
      <w:r>
        <w:lastRenderedPageBreak/>
        <w:t>Operating Review</w:t>
      </w:r>
    </w:p>
    <w:p w14:paraId="3E086C21" w14:textId="77777777" w:rsidR="000118FE" w:rsidRPr="00716EDB" w:rsidRDefault="00EB7966" w:rsidP="0030148F">
      <w:pPr>
        <w:pStyle w:val="Heading3"/>
        <w:jc w:val="both"/>
      </w:pPr>
      <w:r>
        <w:t>MARKET TRENDS</w:t>
      </w:r>
    </w:p>
    <w:p w14:paraId="41AF7EC3" w14:textId="2DBF6146" w:rsidR="00853C81" w:rsidRDefault="00853C81" w:rsidP="0030148F">
      <w:pPr>
        <w:jc w:val="both"/>
      </w:pPr>
      <w:r>
        <w:t>We operate in the UK, a healthcare market dominated by the NHS and Government spending, but increasingly subject to a number of major trends. The population is growing and ageing. Acute and chronic long-term conditions such as cancer, obesity and diabetes are rising. The costs of healthcare provision are increasing fast</w:t>
      </w:r>
      <w:r w:rsidR="00B56847">
        <w:t>er than general inflation, whilst</w:t>
      </w:r>
      <w:r>
        <w:t xml:space="preserve"> slow economic growth constrains Government spending and the NHS’s ability to provide universal healthcare.</w:t>
      </w:r>
      <w:r w:rsidR="00C52F7B">
        <w:t xml:space="preserve"> The ability to take up the opportunities for improved patient care affected by technological advancement is constrained by the funding challenge.</w:t>
      </w:r>
    </w:p>
    <w:p w14:paraId="1305AB65" w14:textId="6188C34E" w:rsidR="00EB7DB3" w:rsidRDefault="00C52F7B" w:rsidP="0030148F">
      <w:pPr>
        <w:jc w:val="both"/>
      </w:pPr>
      <w:r>
        <w:t>The</w:t>
      </w:r>
      <w:r w:rsidR="00853C81">
        <w:t xml:space="preserve"> funding gap</w:t>
      </w:r>
      <w:r>
        <w:t xml:space="preserve"> is growing and</w:t>
      </w:r>
      <w:r w:rsidR="00587CA4">
        <w:t xml:space="preserve"> </w:t>
      </w:r>
      <w:r w:rsidR="003E118A">
        <w:t>could be in the range of £2</w:t>
      </w:r>
      <w:r>
        <w:t>0</w:t>
      </w:r>
      <w:r w:rsidR="003E118A">
        <w:t xml:space="preserve"> billion to £35 billion per annum by 2020/21</w:t>
      </w:r>
      <w:r w:rsidR="003B5D99">
        <w:t>.</w:t>
      </w:r>
      <w:r w:rsidR="00B56847">
        <w:t xml:space="preserve"> </w:t>
      </w:r>
      <w:proofErr w:type="gramStart"/>
      <w:r w:rsidR="003B5D99">
        <w:t xml:space="preserve">All of which presents opportunities to the </w:t>
      </w:r>
      <w:r w:rsidR="00587CA4">
        <w:t>private sector generally and to</w:t>
      </w:r>
      <w:r w:rsidR="003B5D99">
        <w:t xml:space="preserve"> Spire.</w:t>
      </w:r>
      <w:proofErr w:type="gramEnd"/>
      <w:r w:rsidR="003B5D99">
        <w:t xml:space="preserve"> </w:t>
      </w:r>
    </w:p>
    <w:p w14:paraId="1C852006" w14:textId="2B973D8F" w:rsidR="003A204E" w:rsidRDefault="00F9566C" w:rsidP="0030148F">
      <w:pPr>
        <w:jc w:val="both"/>
      </w:pPr>
      <w:r>
        <w:t>Following</w:t>
      </w:r>
      <w:r w:rsidR="00EB7DB3">
        <w:t xml:space="preserve"> Monitor’s intervention in August 2015 to reduce </w:t>
      </w:r>
      <w:r>
        <w:t xml:space="preserve">penalties imposed for exceeding </w:t>
      </w:r>
      <w:r w:rsidR="00EB7DB3">
        <w:t xml:space="preserve">waiting list times for local CCGs and Trust contract work, </w:t>
      </w:r>
      <w:r>
        <w:t>the</w:t>
      </w:r>
      <w:r w:rsidR="00B56847">
        <w:t>se</w:t>
      </w:r>
      <w:r>
        <w:t xml:space="preserve"> activities declined markedly in the second half of the year. W</w:t>
      </w:r>
      <w:r w:rsidR="00EB7DB3">
        <w:t>e believe the NHS’s drive for cost control and further efficiencies will constrain local contract work going forward. That, in turn, is likely to result in lengthening waiting lists and further rationing of non-essential treatments</w:t>
      </w:r>
      <w:r w:rsidR="00853C81">
        <w:t>.</w:t>
      </w:r>
      <w:r w:rsidR="000A0D13">
        <w:t xml:space="preserve"> We </w:t>
      </w:r>
      <w:r w:rsidR="000E52B0">
        <w:t xml:space="preserve">therefore </w:t>
      </w:r>
      <w:r w:rsidR="000A0D13">
        <w:t>believe</w:t>
      </w:r>
      <w:r w:rsidR="000E52B0">
        <w:t xml:space="preserve"> that,</w:t>
      </w:r>
      <w:r w:rsidR="000A0D13">
        <w:t xml:space="preserve"> in the medium to long term</w:t>
      </w:r>
      <w:r w:rsidR="000E52B0">
        <w:t>,</w:t>
      </w:r>
      <w:r w:rsidR="000A0D13">
        <w:t xml:space="preserve"> Spire should benefit from its inherent ‘</w:t>
      </w:r>
      <w:proofErr w:type="spellStart"/>
      <w:r w:rsidR="000A0D13">
        <w:t>payor</w:t>
      </w:r>
      <w:proofErr w:type="spellEnd"/>
      <w:r w:rsidR="000A0D13">
        <w:t xml:space="preserve"> hedge’ as individuals recognising the resulting increases in NHS waiting lists are likely to elect </w:t>
      </w:r>
      <w:r w:rsidR="006A1B92">
        <w:t>to be PMI or self-paying patients</w:t>
      </w:r>
      <w:r w:rsidR="000A0D13">
        <w:t>.</w:t>
      </w:r>
    </w:p>
    <w:p w14:paraId="1AC5DEEC" w14:textId="1095AB07" w:rsidR="00675F48" w:rsidRDefault="00675F48" w:rsidP="0030148F">
      <w:pPr>
        <w:pStyle w:val="Heading3"/>
        <w:jc w:val="both"/>
      </w:pPr>
      <w:r w:rsidRPr="00B2361E">
        <w:t>PERFORMANCE</w:t>
      </w:r>
    </w:p>
    <w:p w14:paraId="32BC1EC3" w14:textId="2A27AE36" w:rsidR="003B5D99" w:rsidRPr="000920B9" w:rsidRDefault="003B5D99" w:rsidP="003B5D99">
      <w:pPr>
        <w:pStyle w:val="Bullet1"/>
        <w:numPr>
          <w:ilvl w:val="0"/>
          <w:numId w:val="0"/>
        </w:numPr>
        <w:jc w:val="both"/>
      </w:pPr>
      <w:r>
        <w:t xml:space="preserve">In-patient and daycase admissions grew 3.7% to 270,000 cases (2014: 260,300) with growth across all </w:t>
      </w:r>
      <w:proofErr w:type="spellStart"/>
      <w:r>
        <w:t>payor</w:t>
      </w:r>
      <w:proofErr w:type="spellEnd"/>
      <w:r>
        <w:t xml:space="preserve"> groups</w:t>
      </w:r>
      <w:r w:rsidR="00CF1F41">
        <w:t>.</w:t>
      </w:r>
    </w:p>
    <w:p w14:paraId="3405D2A3" w14:textId="58CEEEAD" w:rsidR="001C7E91" w:rsidRDefault="003E118A" w:rsidP="0030148F">
      <w:pPr>
        <w:keepNext/>
        <w:keepLines/>
        <w:jc w:val="both"/>
      </w:pPr>
      <w:r w:rsidRPr="003E118A">
        <w:t xml:space="preserve">Our financial performance in 2015 </w:t>
      </w:r>
      <w:r w:rsidR="003B5D99">
        <w:t>was</w:t>
      </w:r>
      <w:r w:rsidR="003B5D99" w:rsidRPr="003E118A">
        <w:t xml:space="preserve"> </w:t>
      </w:r>
      <w:r w:rsidRPr="003E118A">
        <w:t>good</w:t>
      </w:r>
      <w:r>
        <w:t xml:space="preserve">. Overall revenue for the year grew </w:t>
      </w:r>
      <w:r w:rsidR="00F978F6">
        <w:t xml:space="preserve">3.4% to £884.8 million (2014: £856.0 million) with growth reported across all </w:t>
      </w:r>
      <w:proofErr w:type="spellStart"/>
      <w:r w:rsidR="00F978F6">
        <w:t>payor</w:t>
      </w:r>
      <w:proofErr w:type="spellEnd"/>
      <w:r w:rsidR="00F978F6">
        <w:t xml:space="preserve"> groups. Adjusted EBITDA grew 2.2% to £160.1 million (2014: £156.7 million)</w:t>
      </w:r>
      <w:r w:rsidR="001C7E91" w:rsidRPr="003E118A">
        <w:t>.</w:t>
      </w:r>
      <w:r w:rsidR="007D31BF">
        <w:t xml:space="preserve"> </w:t>
      </w:r>
    </w:p>
    <w:p w14:paraId="5E6E74F4" w14:textId="0B0AA3C3" w:rsidR="001C7E91" w:rsidRDefault="00254330" w:rsidP="0030148F">
      <w:pPr>
        <w:jc w:val="both"/>
      </w:pPr>
      <w:r w:rsidRPr="00254330">
        <w:t xml:space="preserve">We continue </w:t>
      </w:r>
      <w:r>
        <w:t xml:space="preserve">to invest </w:t>
      </w:r>
      <w:r w:rsidR="002E61E8">
        <w:t>significantly in our people, services, treatments, hospitals and equipment. In the year, we invested £109.5 million across the</w:t>
      </w:r>
      <w:r>
        <w:t xml:space="preserve"> business</w:t>
      </w:r>
      <w:r w:rsidR="002E61E8">
        <w:t>, further reinforcing our position as the pre-eminent provider of private healthcare in</w:t>
      </w:r>
      <w:r>
        <w:t xml:space="preserve"> </w:t>
      </w:r>
      <w:r w:rsidR="002E61E8">
        <w:t>the UK</w:t>
      </w:r>
      <w:r w:rsidR="003B65DC" w:rsidRPr="00254330">
        <w:t>.</w:t>
      </w:r>
      <w:r w:rsidR="003B65DC">
        <w:t xml:space="preserve"> </w:t>
      </w:r>
      <w:r w:rsidR="007D31BF">
        <w:t>Despite this</w:t>
      </w:r>
      <w:r w:rsidR="00274955">
        <w:t>,</w:t>
      </w:r>
      <w:r w:rsidR="007D31BF">
        <w:t xml:space="preserve"> n</w:t>
      </w:r>
      <w:r w:rsidR="007D31BF" w:rsidRPr="000920B9">
        <w:t>et debt</w:t>
      </w:r>
      <w:r w:rsidR="007D31BF">
        <w:t xml:space="preserve"> </w:t>
      </w:r>
      <w:r w:rsidR="00230C52">
        <w:t>reduced</w:t>
      </w:r>
      <w:r w:rsidR="007D31BF">
        <w:t xml:space="preserve"> to </w:t>
      </w:r>
      <w:r w:rsidR="007D31BF" w:rsidRPr="000920B9">
        <w:t>£</w:t>
      </w:r>
      <w:r w:rsidR="007D31BF">
        <w:t>419.5</w:t>
      </w:r>
      <w:r w:rsidR="00CF1F41">
        <w:t xml:space="preserve"> </w:t>
      </w:r>
      <w:r w:rsidR="007D31BF" w:rsidRPr="000920B9">
        <w:t>m</w:t>
      </w:r>
      <w:r w:rsidR="00CF1F41">
        <w:t>illion</w:t>
      </w:r>
      <w:r w:rsidR="007D31BF">
        <w:t>, with leverage at 2.6 times Adjusted EBITDA</w:t>
      </w:r>
      <w:r w:rsidR="005D290A">
        <w:t xml:space="preserve"> and interest costs </w:t>
      </w:r>
      <w:r w:rsidR="00CF1F41">
        <w:t xml:space="preserve">were </w:t>
      </w:r>
      <w:r w:rsidR="005D290A">
        <w:t>covered 7.5</w:t>
      </w:r>
      <w:r w:rsidR="00366199">
        <w:t xml:space="preserve"> times by Adjusted EBIT</w:t>
      </w:r>
      <w:r w:rsidR="005D290A">
        <w:t>DA</w:t>
      </w:r>
      <w:r w:rsidR="007D31BF">
        <w:t xml:space="preserve"> </w:t>
      </w:r>
      <w:r w:rsidR="007D31BF" w:rsidRPr="000920B9">
        <w:t>(201</w:t>
      </w:r>
      <w:r w:rsidR="007D31BF">
        <w:t>4</w:t>
      </w:r>
      <w:r w:rsidR="007D31BF" w:rsidRPr="000920B9">
        <w:t>: £424.3</w:t>
      </w:r>
      <w:r w:rsidR="00CF1F41">
        <w:t xml:space="preserve"> </w:t>
      </w:r>
      <w:r w:rsidR="007D31BF" w:rsidRPr="000920B9">
        <w:t>m</w:t>
      </w:r>
      <w:r w:rsidR="00CF1F41">
        <w:t>illion</w:t>
      </w:r>
      <w:r w:rsidR="007D31BF">
        <w:t xml:space="preserve"> and 2.7 times Adjusted EBITDA</w:t>
      </w:r>
      <w:r w:rsidR="007D31BF" w:rsidRPr="000920B9">
        <w:t>)</w:t>
      </w:r>
      <w:r w:rsidR="007D31BF">
        <w:t>.</w:t>
      </w:r>
    </w:p>
    <w:p w14:paraId="4E89A841" w14:textId="77777777" w:rsidR="007C38B2" w:rsidRDefault="007C38B2" w:rsidP="0030148F">
      <w:pPr>
        <w:pStyle w:val="Heading3"/>
        <w:jc w:val="both"/>
      </w:pPr>
      <w:r>
        <w:t>Business Development</w:t>
      </w:r>
    </w:p>
    <w:p w14:paraId="1208A9DF" w14:textId="15A75976" w:rsidR="007C38B2" w:rsidRDefault="00C06210" w:rsidP="00B56847">
      <w:pPr>
        <w:jc w:val="both"/>
      </w:pPr>
      <w:r w:rsidRPr="00C06210">
        <w:t xml:space="preserve">Our </w:t>
      </w:r>
      <w:r>
        <w:t>strategy is based on four pillars and aims to build value by offering a wider range of treatments, more efficiently, to an increasing number of patients</w:t>
      </w:r>
      <w:r w:rsidR="007C38B2" w:rsidRPr="00C06210">
        <w:t>.</w:t>
      </w:r>
      <w:r w:rsidR="007C38B2">
        <w:t xml:space="preserve"> </w:t>
      </w:r>
    </w:p>
    <w:p w14:paraId="724F64FC" w14:textId="77777777" w:rsidR="00C06210" w:rsidRDefault="00C06210" w:rsidP="00B56847">
      <w:pPr>
        <w:jc w:val="both"/>
      </w:pPr>
      <w:r>
        <w:t xml:space="preserve">First, we will continue to focus on our relationships with each of our three major </w:t>
      </w:r>
      <w:proofErr w:type="spellStart"/>
      <w:r>
        <w:t>payor</w:t>
      </w:r>
      <w:proofErr w:type="spellEnd"/>
      <w:r>
        <w:t xml:space="preserve"> groups – PMI, Self-pay and the NHS – developing targeted responses to their individual requirements. </w:t>
      </w:r>
    </w:p>
    <w:p w14:paraId="6AE1FFFF" w14:textId="501FCBF3" w:rsidR="00C06210" w:rsidRDefault="00C06210" w:rsidP="00B56847">
      <w:pPr>
        <w:jc w:val="both"/>
      </w:pPr>
      <w:r>
        <w:t xml:space="preserve">Second, we will leverage and develop our existing well-invested and </w:t>
      </w:r>
      <w:proofErr w:type="spellStart"/>
      <w:r>
        <w:t>scal</w:t>
      </w:r>
      <w:r w:rsidR="00207723">
        <w:t>e</w:t>
      </w:r>
      <w:r>
        <w:t>able</w:t>
      </w:r>
      <w:proofErr w:type="spellEnd"/>
      <w:r>
        <w:t xml:space="preserve"> hospitals, maximising capacity and opening new theatres to meet growing demand. We will continue to build relationships with our patients, their referring GPs and the consultants who provide treatment in our hospitals. </w:t>
      </w:r>
    </w:p>
    <w:p w14:paraId="7B26C6F4" w14:textId="572633EA" w:rsidR="00C06210" w:rsidRDefault="00C06210" w:rsidP="00B56847">
      <w:pPr>
        <w:jc w:val="both"/>
      </w:pPr>
      <w:r>
        <w:t>Third, we will develop new sites and services, targeting identified growth areas such as radiotherapy and cancer care, orthopaedics, cardiac and general surgery</w:t>
      </w:r>
      <w:r w:rsidR="009B163B">
        <w:t>.</w:t>
      </w:r>
      <w:r>
        <w:t xml:space="preserve"> </w:t>
      </w:r>
      <w:r w:rsidR="009B163B">
        <w:t xml:space="preserve"> </w:t>
      </w:r>
      <w:r w:rsidR="00D85C73">
        <w:t xml:space="preserve">We will look to </w:t>
      </w:r>
      <w:r>
        <w:t>acquir</w:t>
      </w:r>
      <w:r w:rsidR="00D85C73">
        <w:t>e</w:t>
      </w:r>
      <w:r>
        <w:t xml:space="preserve"> or build new hospitals in areas</w:t>
      </w:r>
      <w:r w:rsidR="00D85C73">
        <w:t xml:space="preserve"> of identified demand and</w:t>
      </w:r>
      <w:r>
        <w:t xml:space="preserve"> where Spire is underrepresented, including London.</w:t>
      </w:r>
    </w:p>
    <w:p w14:paraId="19AB7F72" w14:textId="0F89409A" w:rsidR="00C06210" w:rsidRDefault="00C06210" w:rsidP="00B56847">
      <w:pPr>
        <w:jc w:val="both"/>
      </w:pPr>
      <w:r>
        <w:t>Fourth, we will continue to drive productivity improvement</w:t>
      </w:r>
      <w:r w:rsidR="00D0600F">
        <w:t>,</w:t>
      </w:r>
      <w:r>
        <w:t xml:space="preserve"> cost management</w:t>
      </w:r>
      <w:r w:rsidR="00D0600F">
        <w:t xml:space="preserve"> and operational efficiency,</w:t>
      </w:r>
      <w:r>
        <w:t xml:space="preserve"> both centrally and locally.</w:t>
      </w:r>
    </w:p>
    <w:p w14:paraId="7A079A15" w14:textId="77777777" w:rsidR="005A6DDA" w:rsidRPr="00B03993" w:rsidRDefault="005A6DDA" w:rsidP="0030148F">
      <w:pPr>
        <w:pStyle w:val="Heading3"/>
        <w:jc w:val="both"/>
        <w:rPr>
          <w:color w:val="000000" w:themeColor="text1"/>
          <w:sz w:val="16"/>
        </w:rPr>
      </w:pPr>
      <w:r w:rsidRPr="00B03993">
        <w:rPr>
          <w:color w:val="000000" w:themeColor="text1"/>
          <w:sz w:val="16"/>
        </w:rPr>
        <w:t>INVESTING IN OUR CORE BUSINESSES</w:t>
      </w:r>
    </w:p>
    <w:p w14:paraId="54CC9F1E" w14:textId="2D37B945" w:rsidR="00613438" w:rsidRDefault="00D0600F" w:rsidP="00613438">
      <w:pPr>
        <w:pStyle w:val="ListParagraph"/>
        <w:keepNext/>
        <w:keepLines/>
        <w:numPr>
          <w:ilvl w:val="0"/>
          <w:numId w:val="33"/>
        </w:numPr>
        <w:jc w:val="both"/>
      </w:pPr>
      <w:r>
        <w:t>Since we</w:t>
      </w:r>
      <w:r w:rsidR="00613438" w:rsidRPr="000777B5">
        <w:t xml:space="preserve"> acquired </w:t>
      </w:r>
      <w:r w:rsidR="00613438">
        <w:t xml:space="preserve">Spire </w:t>
      </w:r>
      <w:r w:rsidR="00613438" w:rsidRPr="000777B5">
        <w:t xml:space="preserve">St Anthony’s </w:t>
      </w:r>
      <w:r w:rsidR="00613438">
        <w:t>H</w:t>
      </w:r>
      <w:r w:rsidR="00613438" w:rsidRPr="000777B5">
        <w:t>ospital</w:t>
      </w:r>
      <w:r>
        <w:t xml:space="preserve"> in May 2014,</w:t>
      </w:r>
      <w:r w:rsidR="00613438" w:rsidRPr="000777B5">
        <w:t xml:space="preserve"> we have trimmed the cost base and </w:t>
      </w:r>
      <w:r>
        <w:t>realised</w:t>
      </w:r>
      <w:r w:rsidRPr="000777B5">
        <w:t xml:space="preserve"> </w:t>
      </w:r>
      <w:r w:rsidR="00613438" w:rsidRPr="000777B5">
        <w:t xml:space="preserve">the planned </w:t>
      </w:r>
      <w:r w:rsidR="00613438">
        <w:t xml:space="preserve">back office </w:t>
      </w:r>
      <w:r w:rsidR="00613438" w:rsidRPr="000777B5">
        <w:t xml:space="preserve">synergies. </w:t>
      </w:r>
      <w:r>
        <w:t>Our expansion</w:t>
      </w:r>
      <w:r w:rsidR="00613438" w:rsidRPr="002E1365">
        <w:t xml:space="preserve"> from 4 to 6 theatres</w:t>
      </w:r>
      <w:r w:rsidR="00613438" w:rsidRPr="000777B5">
        <w:t xml:space="preserve"> (in a new block), with 84 ward beds, an 8 bed ITU and 19 consulting rooms, </w:t>
      </w:r>
      <w:r w:rsidR="00613438">
        <w:t xml:space="preserve">remains on track and </w:t>
      </w:r>
      <w:r w:rsidR="00C92CE4">
        <w:t xml:space="preserve">is expected to complete </w:t>
      </w:r>
      <w:r w:rsidR="00613438">
        <w:t>in July 2016.</w:t>
      </w:r>
    </w:p>
    <w:p w14:paraId="49012C4C" w14:textId="0FA9A01A" w:rsidR="00613438" w:rsidRDefault="00613438" w:rsidP="00613438">
      <w:pPr>
        <w:pStyle w:val="ListParagraph"/>
        <w:numPr>
          <w:ilvl w:val="0"/>
          <w:numId w:val="33"/>
        </w:numPr>
        <w:jc w:val="both"/>
      </w:pPr>
      <w:r>
        <w:t xml:space="preserve">Construction of the new </w:t>
      </w:r>
      <w:r w:rsidRPr="00333495">
        <w:t>Manchester</w:t>
      </w:r>
      <w:r>
        <w:t xml:space="preserve"> hospital (</w:t>
      </w:r>
      <w:r w:rsidRPr="00333495">
        <w:t xml:space="preserve">6 theatres, 71 beds, </w:t>
      </w:r>
      <w:r w:rsidR="00CF1F41">
        <w:t>c</w:t>
      </w:r>
      <w:r w:rsidRPr="00333495">
        <w:t xml:space="preserve">linical trials unit, </w:t>
      </w:r>
      <w:proofErr w:type="gramStart"/>
      <w:r w:rsidRPr="00333495">
        <w:t>ITU</w:t>
      </w:r>
      <w:proofErr w:type="gramEnd"/>
      <w:r w:rsidR="00D0600F">
        <w:t xml:space="preserve"> and</w:t>
      </w:r>
      <w:r w:rsidRPr="00333495">
        <w:t xml:space="preserve"> conference suite</w:t>
      </w:r>
      <w:r>
        <w:t xml:space="preserve">) remains on track and is </w:t>
      </w:r>
      <w:r w:rsidR="00CC2D33">
        <w:t xml:space="preserve">expected </w:t>
      </w:r>
      <w:r>
        <w:t xml:space="preserve">to </w:t>
      </w:r>
      <w:r w:rsidR="009D0A22">
        <w:t xml:space="preserve">complete </w:t>
      </w:r>
      <w:r>
        <w:t>Q1 2017.</w:t>
      </w:r>
    </w:p>
    <w:p w14:paraId="4D0D36C0" w14:textId="796FC43B" w:rsidR="00613438" w:rsidRPr="00551D1C" w:rsidRDefault="00613438" w:rsidP="00613438">
      <w:pPr>
        <w:pStyle w:val="ListParagraph"/>
        <w:numPr>
          <w:ilvl w:val="0"/>
          <w:numId w:val="33"/>
        </w:numPr>
        <w:jc w:val="both"/>
      </w:pPr>
      <w:r>
        <w:lastRenderedPageBreak/>
        <w:t xml:space="preserve">Construction of the new </w:t>
      </w:r>
      <w:r w:rsidRPr="00333495">
        <w:t>Nottingham</w:t>
      </w:r>
      <w:r>
        <w:t xml:space="preserve"> hospital (</w:t>
      </w:r>
      <w:r w:rsidRPr="00333495">
        <w:t>4 theatres, 54 Beds</w:t>
      </w:r>
      <w:r w:rsidR="00CF1F41">
        <w:t xml:space="preserve"> and</w:t>
      </w:r>
      <w:r w:rsidRPr="00333495">
        <w:t xml:space="preserve"> ITU</w:t>
      </w:r>
      <w:r>
        <w:t xml:space="preserve">) </w:t>
      </w:r>
      <w:r w:rsidR="009D0A22">
        <w:t xml:space="preserve">remains on track </w:t>
      </w:r>
      <w:r>
        <w:t xml:space="preserve">and is </w:t>
      </w:r>
      <w:r w:rsidR="00CC2D33">
        <w:t xml:space="preserve">expected </w:t>
      </w:r>
      <w:r>
        <w:t xml:space="preserve">to </w:t>
      </w:r>
      <w:r w:rsidR="009D0A22">
        <w:t>complete</w:t>
      </w:r>
      <w:r>
        <w:t xml:space="preserve"> </w:t>
      </w:r>
      <w:r w:rsidRPr="00551D1C">
        <w:t>Q1 2017</w:t>
      </w:r>
      <w:r>
        <w:t>.</w:t>
      </w:r>
    </w:p>
    <w:p w14:paraId="0EFA471C" w14:textId="252C4B09" w:rsidR="00613438" w:rsidRDefault="00613438" w:rsidP="00613438">
      <w:pPr>
        <w:pStyle w:val="ListParagraph"/>
        <w:numPr>
          <w:ilvl w:val="0"/>
          <w:numId w:val="33"/>
        </w:numPr>
        <w:jc w:val="both"/>
      </w:pPr>
      <w:r>
        <w:t>We c</w:t>
      </w:r>
      <w:r w:rsidRPr="00333495">
        <w:t xml:space="preserve">urrently </w:t>
      </w:r>
      <w:r>
        <w:t>have 12</w:t>
      </w:r>
      <w:r w:rsidR="00C92CE4">
        <w:t>1</w:t>
      </w:r>
      <w:r>
        <w:t xml:space="preserve"> operating theatres, including the </w:t>
      </w:r>
      <w:r w:rsidRPr="00333495">
        <w:t xml:space="preserve">new theatre opened </w:t>
      </w:r>
      <w:r w:rsidR="00D0600F">
        <w:t xml:space="preserve">last June </w:t>
      </w:r>
      <w:r w:rsidRPr="00333495">
        <w:t xml:space="preserve">at </w:t>
      </w:r>
      <w:r w:rsidR="00522BBE">
        <w:t xml:space="preserve">Spire </w:t>
      </w:r>
      <w:r w:rsidRPr="00333495">
        <w:t xml:space="preserve">Elland </w:t>
      </w:r>
      <w:r w:rsidR="004C46F4">
        <w:t>Hospital.</w:t>
      </w:r>
      <w:r>
        <w:t xml:space="preserve"> C</w:t>
      </w:r>
      <w:r w:rsidRPr="00333495">
        <w:t xml:space="preserve">onstruction of </w:t>
      </w:r>
      <w:r>
        <w:t xml:space="preserve">a further </w:t>
      </w:r>
      <w:r w:rsidRPr="00333495">
        <w:t xml:space="preserve">3 theatres (at </w:t>
      </w:r>
      <w:r w:rsidR="00B71605">
        <w:t xml:space="preserve">Spire </w:t>
      </w:r>
      <w:r w:rsidRPr="00333495">
        <w:t xml:space="preserve">Methley Park, Hull </w:t>
      </w:r>
      <w:r w:rsidR="00B71605">
        <w:t xml:space="preserve">and East Riding </w:t>
      </w:r>
      <w:r w:rsidRPr="00333495">
        <w:t>and Parkway</w:t>
      </w:r>
      <w:r w:rsidR="00B71605">
        <w:t xml:space="preserve"> hospitals</w:t>
      </w:r>
      <w:r w:rsidRPr="00333495">
        <w:t xml:space="preserve">) </w:t>
      </w:r>
      <w:r>
        <w:t>is under</w:t>
      </w:r>
      <w:r w:rsidRPr="00333495">
        <w:t>way</w:t>
      </w:r>
      <w:r>
        <w:t>.</w:t>
      </w:r>
    </w:p>
    <w:p w14:paraId="3286AB1B" w14:textId="222EEFFF" w:rsidR="00613438" w:rsidRDefault="00613438" w:rsidP="00613438">
      <w:pPr>
        <w:pStyle w:val="ListParagraph"/>
        <w:keepNext/>
        <w:keepLines/>
        <w:numPr>
          <w:ilvl w:val="0"/>
          <w:numId w:val="33"/>
        </w:numPr>
        <w:jc w:val="both"/>
      </w:pPr>
      <w:r>
        <w:t xml:space="preserve">In </w:t>
      </w:r>
      <w:r w:rsidR="00931F38">
        <w:t xml:space="preserve">September </w:t>
      </w:r>
      <w:r>
        <w:t xml:space="preserve">2015, the Spire St Saviour’s Hospital in Kent </w:t>
      </w:r>
      <w:r w:rsidR="00931F38">
        <w:t xml:space="preserve">was closed </w:t>
      </w:r>
      <w:r>
        <w:t xml:space="preserve">on the grounds that it </w:t>
      </w:r>
      <w:r w:rsidR="00931F38">
        <w:t>wa</w:t>
      </w:r>
      <w:r>
        <w:t xml:space="preserve">s uneconomic to develop. </w:t>
      </w:r>
    </w:p>
    <w:p w14:paraId="7E8B97F8" w14:textId="77777777" w:rsidR="005A6DDA" w:rsidRPr="00B03993" w:rsidRDefault="005A6DDA" w:rsidP="0030148F">
      <w:pPr>
        <w:pStyle w:val="Heading3"/>
        <w:jc w:val="both"/>
        <w:rPr>
          <w:color w:val="000000" w:themeColor="text1"/>
          <w:sz w:val="16"/>
        </w:rPr>
      </w:pPr>
      <w:r w:rsidRPr="00B03993">
        <w:rPr>
          <w:color w:val="000000" w:themeColor="text1"/>
          <w:sz w:val="16"/>
        </w:rPr>
        <w:t>DEVELOPING OUR SERVICE OFFERING</w:t>
      </w:r>
    </w:p>
    <w:p w14:paraId="5803AAB0" w14:textId="77777777" w:rsidR="00BB36F1" w:rsidRDefault="00BB36F1" w:rsidP="00BB36F1">
      <w:pPr>
        <w:pStyle w:val="ListParagraph"/>
        <w:numPr>
          <w:ilvl w:val="0"/>
          <w:numId w:val="34"/>
        </w:numPr>
        <w:jc w:val="both"/>
      </w:pPr>
      <w:r>
        <w:t xml:space="preserve">We continue to develop our offering of higher acuity procedures in hospitals where it is appropriate to do so, taking into account the local </w:t>
      </w:r>
      <w:proofErr w:type="spellStart"/>
      <w:r>
        <w:t>payor</w:t>
      </w:r>
      <w:proofErr w:type="spellEnd"/>
      <w:r>
        <w:t xml:space="preserve"> demographics and availability of consultants with the requisite specialisations and skills in the local NHS facilities.</w:t>
      </w:r>
    </w:p>
    <w:p w14:paraId="1FB81614" w14:textId="3FCEF597" w:rsidR="00BB36F1" w:rsidRDefault="00BB36F1" w:rsidP="00BB36F1">
      <w:pPr>
        <w:pStyle w:val="ListParagraph"/>
        <w:numPr>
          <w:ilvl w:val="0"/>
          <w:numId w:val="34"/>
        </w:numPr>
        <w:jc w:val="both"/>
      </w:pPr>
      <w:r>
        <w:t>In November 2015, we opened our second Specialist Care Centre in Baddow</w:t>
      </w:r>
      <w:r w:rsidR="00DB0E06">
        <w:t>,</w:t>
      </w:r>
      <w:r>
        <w:t xml:space="preserve"> </w:t>
      </w:r>
      <w:r w:rsidR="00DB0E06">
        <w:t>offering external beam radiotherapy and state-of-the-art cancer planning and treatment techniques to patients in Essex</w:t>
      </w:r>
      <w:r w:rsidR="00D0600F">
        <w:t xml:space="preserve"> and beyond</w:t>
      </w:r>
      <w:r w:rsidR="00DB0E06">
        <w:t>.</w:t>
      </w:r>
    </w:p>
    <w:p w14:paraId="46EB0DD9" w14:textId="1AD8C643" w:rsidR="008A3AD9" w:rsidRDefault="002C1F22" w:rsidP="00BB36F1">
      <w:pPr>
        <w:pStyle w:val="ListParagraph"/>
        <w:numPr>
          <w:ilvl w:val="0"/>
          <w:numId w:val="34"/>
        </w:numPr>
        <w:jc w:val="both"/>
      </w:pPr>
      <w:r>
        <w:t xml:space="preserve">In 2016, we will be </w:t>
      </w:r>
      <w:r w:rsidR="00F82B2D">
        <w:t xml:space="preserve">introducing </w:t>
      </w:r>
      <w:r>
        <w:t xml:space="preserve">a Da Vinci surgical robot in </w:t>
      </w:r>
      <w:r w:rsidR="0061282F">
        <w:t xml:space="preserve">a dedicated theatre in </w:t>
      </w:r>
      <w:r w:rsidR="00F82B2D">
        <w:t xml:space="preserve">our </w:t>
      </w:r>
      <w:r w:rsidR="000D58A2">
        <w:t>Spire Southampton Hospital</w:t>
      </w:r>
      <w:r w:rsidR="008A3AD9">
        <w:t>.</w:t>
      </w:r>
    </w:p>
    <w:p w14:paraId="6D69E468" w14:textId="5EAB8B76" w:rsidR="00354C5D" w:rsidRPr="00B03993" w:rsidRDefault="00354C5D" w:rsidP="0030148F">
      <w:pPr>
        <w:pStyle w:val="Heading3"/>
        <w:jc w:val="both"/>
        <w:rPr>
          <w:color w:val="000000" w:themeColor="text1"/>
          <w:sz w:val="16"/>
        </w:rPr>
      </w:pPr>
      <w:r w:rsidRPr="00B03993">
        <w:rPr>
          <w:color w:val="000000" w:themeColor="text1"/>
          <w:sz w:val="16"/>
        </w:rPr>
        <w:t xml:space="preserve">DEVELOPING </w:t>
      </w:r>
      <w:r w:rsidR="00DB0E06">
        <w:rPr>
          <w:color w:val="000000" w:themeColor="text1"/>
          <w:sz w:val="16"/>
        </w:rPr>
        <w:t xml:space="preserve">LOWER COST OF DELIVERY </w:t>
      </w:r>
    </w:p>
    <w:p w14:paraId="1061F16B" w14:textId="77777777" w:rsidR="00F909A5" w:rsidRDefault="00F909A5" w:rsidP="00F909A5">
      <w:pPr>
        <w:pStyle w:val="ListParagraph"/>
        <w:numPr>
          <w:ilvl w:val="0"/>
          <w:numId w:val="34"/>
        </w:numPr>
        <w:jc w:val="both"/>
      </w:pPr>
      <w:r>
        <w:t>Improved utilisation of spare theatre capacity provides the opportunity to improve the recovery of fixed and semi-variable costs in the business.</w:t>
      </w:r>
    </w:p>
    <w:p w14:paraId="18773DF6" w14:textId="77777777" w:rsidR="00F909A5" w:rsidRDefault="00F909A5" w:rsidP="00F909A5">
      <w:pPr>
        <w:pStyle w:val="ListParagraph"/>
        <w:numPr>
          <w:ilvl w:val="0"/>
          <w:numId w:val="34"/>
        </w:numPr>
        <w:jc w:val="both"/>
      </w:pPr>
      <w:r>
        <w:t>Additional volumes improve our ability to deliver economies of scale in procurement, distribution and logistics and other in-house support services such as pathology and sterilisation.</w:t>
      </w:r>
    </w:p>
    <w:p w14:paraId="3190C0AA" w14:textId="1EA7AB1C" w:rsidR="00F909A5" w:rsidRDefault="00F909A5" w:rsidP="00F909A5">
      <w:pPr>
        <w:pStyle w:val="ListParagraph"/>
        <w:numPr>
          <w:ilvl w:val="0"/>
          <w:numId w:val="34"/>
        </w:numPr>
        <w:jc w:val="both"/>
      </w:pPr>
      <w:r>
        <w:t xml:space="preserve">Recent investment in IT platforms has enabled us to reduce administration costs whilst improving the quality of our management information systems. This enables </w:t>
      </w:r>
      <w:r w:rsidR="002E3260">
        <w:t>us</w:t>
      </w:r>
      <w:r>
        <w:t xml:space="preserve"> more effectively</w:t>
      </w:r>
      <w:r w:rsidR="002E3260">
        <w:t xml:space="preserve"> to</w:t>
      </w:r>
      <w:r>
        <w:t xml:space="preserve"> </w:t>
      </w:r>
      <w:proofErr w:type="gramStart"/>
      <w:r>
        <w:t>conform</w:t>
      </w:r>
      <w:proofErr w:type="gramEnd"/>
      <w:r>
        <w:t xml:space="preserve"> practice across the Group and to identify and cultivate best operating practice across our hospital network.</w:t>
      </w:r>
    </w:p>
    <w:p w14:paraId="193BF960" w14:textId="4D79A8AB" w:rsidR="00F909A5" w:rsidRDefault="00F909A5" w:rsidP="00F909A5">
      <w:pPr>
        <w:pStyle w:val="ListParagraph"/>
        <w:numPr>
          <w:ilvl w:val="0"/>
          <w:numId w:val="34"/>
        </w:numPr>
        <w:jc w:val="both"/>
      </w:pPr>
      <w:r w:rsidRPr="0082040C">
        <w:t xml:space="preserve">Ongoing </w:t>
      </w:r>
      <w:r w:rsidR="00094D52">
        <w:t>focus on</w:t>
      </w:r>
      <w:r>
        <w:t xml:space="preserve"> standardis</w:t>
      </w:r>
      <w:r w:rsidR="00094D52">
        <w:t>ing</w:t>
      </w:r>
      <w:r>
        <w:t xml:space="preserve"> and improv</w:t>
      </w:r>
      <w:r w:rsidR="00094D52">
        <w:t>ing</w:t>
      </w:r>
      <w:r>
        <w:t xml:space="preserve"> our clinical pathways and practices across the Group</w:t>
      </w:r>
      <w:r w:rsidR="00094D52">
        <w:t>,</w:t>
      </w:r>
      <w:r>
        <w:t xml:space="preserve"> employing new technologies to improve outcomes and reduce length of stay.</w:t>
      </w:r>
    </w:p>
    <w:p w14:paraId="2CDA9385" w14:textId="4F4887E1" w:rsidR="00F909A5" w:rsidRPr="004F1E52" w:rsidRDefault="00094D52" w:rsidP="00F909A5">
      <w:pPr>
        <w:pStyle w:val="ListParagraph"/>
        <w:numPr>
          <w:ilvl w:val="0"/>
          <w:numId w:val="34"/>
        </w:numPr>
        <w:jc w:val="both"/>
      </w:pPr>
      <w:r>
        <w:t>Improved</w:t>
      </w:r>
      <w:r w:rsidR="00F909A5">
        <w:t xml:space="preserve"> recruitment and retention – ‘growing our own’ – to increase our flexible ‘bank’ nursing resource, reduce our use of </w:t>
      </w:r>
      <w:r w:rsidR="00CA3CF3">
        <w:t xml:space="preserve">relatively expensive </w:t>
      </w:r>
      <w:r w:rsidR="00F909A5">
        <w:t>‘agency’</w:t>
      </w:r>
      <w:r w:rsidR="00CA3CF3">
        <w:t xml:space="preserve"> nurses</w:t>
      </w:r>
      <w:r w:rsidR="00F909A5">
        <w:t>, and make Spire Healthcare an employer of choice.</w:t>
      </w:r>
      <w:r w:rsidR="00F909A5" w:rsidRPr="0082040C">
        <w:t xml:space="preserve"> </w:t>
      </w:r>
    </w:p>
    <w:p w14:paraId="3F5AC9AA" w14:textId="386FA857" w:rsidR="00DB0E06" w:rsidRPr="00B03993" w:rsidRDefault="00DB0E06" w:rsidP="00DB0E06">
      <w:pPr>
        <w:pStyle w:val="Heading3"/>
        <w:jc w:val="both"/>
        <w:rPr>
          <w:color w:val="000000" w:themeColor="text1"/>
          <w:sz w:val="16"/>
        </w:rPr>
      </w:pPr>
      <w:r w:rsidRPr="00B03993">
        <w:rPr>
          <w:color w:val="000000" w:themeColor="text1"/>
          <w:sz w:val="16"/>
        </w:rPr>
        <w:t xml:space="preserve">RELATIONSHIPS WITH </w:t>
      </w:r>
      <w:r>
        <w:rPr>
          <w:color w:val="000000" w:themeColor="text1"/>
          <w:sz w:val="16"/>
        </w:rPr>
        <w:t xml:space="preserve">PATIENTS </w:t>
      </w:r>
    </w:p>
    <w:p w14:paraId="52F23ED2" w14:textId="77777777" w:rsidR="003E5D00" w:rsidRPr="004E7DE0" w:rsidRDefault="003E5D00" w:rsidP="003E5D00">
      <w:pPr>
        <w:pStyle w:val="ListParagraph"/>
        <w:numPr>
          <w:ilvl w:val="0"/>
          <w:numId w:val="34"/>
        </w:numPr>
        <w:jc w:val="both"/>
      </w:pPr>
      <w:r>
        <w:t>We continue to work to improve our patient proposition</w:t>
      </w:r>
      <w:r w:rsidRPr="004E7DE0">
        <w:t xml:space="preserve"> and </w:t>
      </w:r>
      <w:r>
        <w:t>clinical experience in all areas of our business.</w:t>
      </w:r>
    </w:p>
    <w:p w14:paraId="3260D4AF" w14:textId="341355D1" w:rsidR="003E5D00" w:rsidRDefault="003E5D00" w:rsidP="003E5D00">
      <w:pPr>
        <w:pStyle w:val="ListParagraph"/>
        <w:numPr>
          <w:ilvl w:val="0"/>
          <w:numId w:val="34"/>
        </w:numPr>
        <w:jc w:val="both"/>
      </w:pPr>
      <w:r>
        <w:t>Our recent i</w:t>
      </w:r>
      <w:r w:rsidRPr="00AA06FB">
        <w:t xml:space="preserve">mplementation of </w:t>
      </w:r>
      <w:r>
        <w:t>a dedicated customer relationship management (</w:t>
      </w:r>
      <w:r w:rsidRPr="00AA06FB">
        <w:t>CRM</w:t>
      </w:r>
      <w:r>
        <w:t xml:space="preserve">) system </w:t>
      </w:r>
      <w:r w:rsidRPr="00AA06FB">
        <w:t>allow</w:t>
      </w:r>
      <w:r>
        <w:t>s</w:t>
      </w:r>
      <w:r w:rsidRPr="00AA06FB">
        <w:t xml:space="preserve"> us to have a more consistent relationship an</w:t>
      </w:r>
      <w:r>
        <w:t>d communication with patients, ensuring t</w:t>
      </w:r>
      <w:r w:rsidRPr="00AA06FB">
        <w:t>he patient experience is smoother with quicker response times to enquiries.</w:t>
      </w:r>
    </w:p>
    <w:p w14:paraId="47CC019C" w14:textId="77777777" w:rsidR="003E5D00" w:rsidRPr="00AA06FB" w:rsidRDefault="003E5D00" w:rsidP="003E5D00">
      <w:pPr>
        <w:pStyle w:val="ListParagraph"/>
        <w:numPr>
          <w:ilvl w:val="0"/>
          <w:numId w:val="34"/>
        </w:numPr>
        <w:jc w:val="both"/>
      </w:pPr>
      <w:r>
        <w:t>W</w:t>
      </w:r>
      <w:r w:rsidRPr="00AA06FB">
        <w:t xml:space="preserve">e have </w:t>
      </w:r>
      <w:r>
        <w:t>introduced monthly</w:t>
      </w:r>
      <w:r w:rsidRPr="00AA06FB">
        <w:t xml:space="preserve"> patient satisfaction monitoring and reporting </w:t>
      </w:r>
      <w:r>
        <w:t>(which had previously been on an annual basis).</w:t>
      </w:r>
    </w:p>
    <w:p w14:paraId="5ADCB1FF" w14:textId="77777777" w:rsidR="00675F48" w:rsidRDefault="00E04B57" w:rsidP="0030148F">
      <w:pPr>
        <w:pStyle w:val="Heading3"/>
        <w:jc w:val="both"/>
      </w:pPr>
      <w:r>
        <w:t>Board changes</w:t>
      </w:r>
    </w:p>
    <w:p w14:paraId="6CCBEDF6" w14:textId="77777777" w:rsidR="00843C15" w:rsidRDefault="00843C15" w:rsidP="0030148F">
      <w:pPr>
        <w:jc w:val="both"/>
      </w:pPr>
      <w:r w:rsidRPr="00843C15">
        <w:t>During the year, we saw the exit of Cinven, our long standing private equity investor, and the resignation from the</w:t>
      </w:r>
      <w:r w:rsidRPr="00843C15">
        <w:rPr>
          <w:rFonts w:ascii="Arial" w:hAnsi="Arial"/>
          <w:color w:val="000000" w:themeColor="text1"/>
        </w:rPr>
        <w:t xml:space="preserve"> </w:t>
      </w:r>
      <w:r w:rsidRPr="00843C15">
        <w:t>Board of their representative, Dr Supraj Rajagopalan. We wish Cinven and Supraj well in their future ventures</w:t>
      </w:r>
      <w:r>
        <w:t>.</w:t>
      </w:r>
    </w:p>
    <w:p w14:paraId="77C3EE2F" w14:textId="77777777" w:rsidR="00D036D2" w:rsidRDefault="00843C15" w:rsidP="0030148F">
      <w:pPr>
        <w:jc w:val="both"/>
      </w:pPr>
      <w:r>
        <w:t xml:space="preserve">We were </w:t>
      </w:r>
      <w:r w:rsidR="00D036D2">
        <w:t xml:space="preserve">delighted </w:t>
      </w:r>
      <w:r w:rsidRPr="00843C15">
        <w:t>that Simon Rowlands consented to remain o</w:t>
      </w:r>
      <w:r w:rsidR="00D036D2">
        <w:t>n the Board</w:t>
      </w:r>
      <w:r w:rsidRPr="00843C15">
        <w:t xml:space="preserve">, given his experience both with the </w:t>
      </w:r>
      <w:r w:rsidR="00D036D2">
        <w:t>C</w:t>
      </w:r>
      <w:r w:rsidRPr="00843C15">
        <w:t>ompany since 2007 and in the healthcare sector more generally</w:t>
      </w:r>
      <w:r w:rsidR="00D036D2">
        <w:t>.</w:t>
      </w:r>
    </w:p>
    <w:p w14:paraId="2C130896" w14:textId="54C1803F" w:rsidR="00690C84" w:rsidRDefault="00D036D2" w:rsidP="0030148F">
      <w:pPr>
        <w:jc w:val="both"/>
      </w:pPr>
      <w:r>
        <w:t>In June</w:t>
      </w:r>
      <w:r w:rsidR="00CA3CF3">
        <w:t>,</w:t>
      </w:r>
      <w:r>
        <w:t xml:space="preserve"> </w:t>
      </w:r>
      <w:r w:rsidRPr="00D036D2">
        <w:t xml:space="preserve">we welcomed Mediclinic </w:t>
      </w:r>
      <w:r>
        <w:t xml:space="preserve">International </w:t>
      </w:r>
      <w:r w:rsidRPr="00D036D2">
        <w:t xml:space="preserve">to our share register when they took a 29.9% strategic stake in Spire Healthcare. Mediclinic </w:t>
      </w:r>
      <w:r>
        <w:t xml:space="preserve">International </w:t>
      </w:r>
      <w:r w:rsidRPr="00D036D2">
        <w:t xml:space="preserve">is an international private healthcare group operating in South Africa, Switzerland and the United Arab Emirates. Danie Meintjes, </w:t>
      </w:r>
      <w:r>
        <w:t>c</w:t>
      </w:r>
      <w:r w:rsidRPr="00D036D2">
        <w:t xml:space="preserve">hief </w:t>
      </w:r>
      <w:r>
        <w:t>e</w:t>
      </w:r>
      <w:r w:rsidRPr="00D036D2">
        <w:t xml:space="preserve">xecutive </w:t>
      </w:r>
      <w:r>
        <w:t>o</w:t>
      </w:r>
      <w:r w:rsidRPr="00D036D2">
        <w:t>fficer</w:t>
      </w:r>
      <w:r>
        <w:t xml:space="preserve">, </w:t>
      </w:r>
      <w:r w:rsidRPr="00D036D2">
        <w:t xml:space="preserve">joined our Board and we are already benefiting from his knowledge and international experience as we explore </w:t>
      </w:r>
      <w:r w:rsidR="00536A03">
        <w:t xml:space="preserve">new </w:t>
      </w:r>
      <w:r w:rsidRPr="00D036D2">
        <w:t>ways in which we can develop our business</w:t>
      </w:r>
      <w:r w:rsidR="00690C84">
        <w:t>.</w:t>
      </w:r>
    </w:p>
    <w:p w14:paraId="52737950" w14:textId="6DE57776" w:rsidR="004B4FED" w:rsidRDefault="00BE7B3A" w:rsidP="004B4FED">
      <w:pPr>
        <w:jc w:val="both"/>
      </w:pPr>
      <w:r>
        <w:t>In March</w:t>
      </w:r>
      <w:r w:rsidR="004B4FED">
        <w:t xml:space="preserve"> we announced that </w:t>
      </w:r>
      <w:r w:rsidR="00051FE6">
        <w:t>Rob Roger</w:t>
      </w:r>
      <w:r>
        <w:t>, our CEO,</w:t>
      </w:r>
      <w:r w:rsidR="00051FE6">
        <w:t xml:space="preserve"> will</w:t>
      </w:r>
      <w:r w:rsidR="004B4FED">
        <w:t xml:space="preserve"> be leaving </w:t>
      </w:r>
      <w:r>
        <w:t>the business</w:t>
      </w:r>
      <w:r w:rsidR="004B4FED">
        <w:t xml:space="preserve"> </w:t>
      </w:r>
      <w:r>
        <w:t>in</w:t>
      </w:r>
      <w:r w:rsidR="004B4FED">
        <w:t xml:space="preserve"> June </w:t>
      </w:r>
      <w:r w:rsidR="00051FE6">
        <w:t>2016</w:t>
      </w:r>
      <w:r>
        <w:t xml:space="preserve"> after over nine years at Spire</w:t>
      </w:r>
      <w:r w:rsidR="00051FE6">
        <w:t xml:space="preserve"> </w:t>
      </w:r>
      <w:r w:rsidR="004B4FED">
        <w:t xml:space="preserve">to take up a new CEO role at </w:t>
      </w:r>
      <w:r w:rsidR="00324196">
        <w:t xml:space="preserve">Vero Group, </w:t>
      </w:r>
      <w:r w:rsidR="004B4FED">
        <w:t xml:space="preserve">a large privately financed property business. </w:t>
      </w:r>
    </w:p>
    <w:p w14:paraId="3301C8AE" w14:textId="5C32D8AF" w:rsidR="004B4FED" w:rsidRPr="00051FE6" w:rsidRDefault="004B4FED" w:rsidP="004B4FED">
      <w:pPr>
        <w:jc w:val="both"/>
      </w:pPr>
      <w:r>
        <w:t>As CFO, he played an integral part in the formation of Spire Healthcare in 2007 and became CEO in 2011. He has overseen the significant growth of the Group, both organically and through acquisition</w:t>
      </w:r>
      <w:r w:rsidR="00AF7750">
        <w:t>s</w:t>
      </w:r>
      <w:r>
        <w:t xml:space="preserve">, and led it through its successful stock market debut in 2014. </w:t>
      </w:r>
      <w:r w:rsidRPr="00051FE6">
        <w:t>We will be sorry to see Rob depart and wish him well in his new role.</w:t>
      </w:r>
    </w:p>
    <w:p w14:paraId="667C9426" w14:textId="6379032C" w:rsidR="004B4FED" w:rsidRDefault="004B4FED" w:rsidP="004B4FED">
      <w:pPr>
        <w:jc w:val="both"/>
      </w:pPr>
      <w:r>
        <w:t xml:space="preserve">Garry Watts has resumed the role of Executive Chairman, and Andrew White, Chief Operating Officer, will join Garry and Simon Gordon on the Board as an Executive Director with effect from 1 July 2016. Andrew became part of Spire </w:t>
      </w:r>
      <w:r>
        <w:lastRenderedPageBreak/>
        <w:t xml:space="preserve">Healthcare in November 2015, and brings significant professional experience to the role. Further announcements regarding the CEO role will be made as appropriate. </w:t>
      </w:r>
    </w:p>
    <w:p w14:paraId="66533F3D" w14:textId="77777777" w:rsidR="000118FE" w:rsidRPr="00716EDB" w:rsidRDefault="000118FE" w:rsidP="0030148F">
      <w:pPr>
        <w:pStyle w:val="Heading3"/>
        <w:jc w:val="both"/>
      </w:pPr>
      <w:r w:rsidRPr="00716EDB">
        <w:t>REGULATION AND GOVERNANCE</w:t>
      </w:r>
    </w:p>
    <w:p w14:paraId="2E34D2DD" w14:textId="76199DC8" w:rsidR="00DB2257" w:rsidRDefault="00DB2257" w:rsidP="0030148F">
      <w:pPr>
        <w:jc w:val="both"/>
      </w:pPr>
      <w:r w:rsidRPr="00DB2257">
        <w:t xml:space="preserve">We </w:t>
      </w:r>
      <w:r>
        <w:t xml:space="preserve">welcome the increase in scrutiny that the CQC’s new inspections bring. </w:t>
      </w:r>
      <w:r w:rsidR="00A13695">
        <w:t xml:space="preserve">Experience of the process so far indicates </w:t>
      </w:r>
      <w:r>
        <w:t>that our hospitals are, in the main, ‘Good’</w:t>
      </w:r>
      <w:r w:rsidR="00267FF4">
        <w:t>,</w:t>
      </w:r>
      <w:r>
        <w:t xml:space="preserve"> </w:t>
      </w:r>
      <w:r w:rsidR="00A13695">
        <w:t xml:space="preserve">and </w:t>
      </w:r>
      <w:r w:rsidR="00267FF4">
        <w:t xml:space="preserve">are </w:t>
      </w:r>
      <w:r>
        <w:t>‘Outstanding’</w:t>
      </w:r>
      <w:r w:rsidR="00A13695">
        <w:t xml:space="preserve"> in some areas</w:t>
      </w:r>
      <w:r>
        <w:t>, but there are areas for improvement. We address all such areas as a matter of urgency.</w:t>
      </w:r>
      <w:r w:rsidR="00D655FB">
        <w:t xml:space="preserve"> We have revised the format of our own clinical reviews to mirror the CQC’s approach. </w:t>
      </w:r>
    </w:p>
    <w:p w14:paraId="22AE027F" w14:textId="5BB4E578" w:rsidR="000118FE" w:rsidRDefault="00DB2257" w:rsidP="0030148F">
      <w:pPr>
        <w:jc w:val="both"/>
      </w:pPr>
      <w:r>
        <w:t>We are also subject to compliance with the Competition and Markets Authority (‘CMA’). New CMA regulations came into effect in 2015</w:t>
      </w:r>
      <w:r w:rsidR="00D655FB">
        <w:t xml:space="preserve"> </w:t>
      </w:r>
      <w:r w:rsidR="00BE7B3A">
        <w:t>aimed at</w:t>
      </w:r>
      <w:r w:rsidR="00D655FB">
        <w:t xml:space="preserve"> increas</w:t>
      </w:r>
      <w:r w:rsidR="00BE7B3A">
        <w:t>ing</w:t>
      </w:r>
      <w:r w:rsidR="00D655FB">
        <w:t xml:space="preserve"> competition in the independent healthcare market</w:t>
      </w:r>
      <w:r>
        <w:t>. Our legal team undertook a detailed review of any potentially non-compliant contractual and non-contractual arrangements at each of our hospitals.</w:t>
      </w:r>
      <w:r w:rsidR="00D655FB">
        <w:t xml:space="preserve"> This involved unwinding agreements and helping hospitals find pragmatic and workable changes to ensure minimal impact on our patients’ operations or our business. All our hospitals were compliant by the designated deadline in April 2015</w:t>
      </w:r>
      <w:r w:rsidR="000118FE" w:rsidRPr="00DB2257">
        <w:t>.</w:t>
      </w:r>
    </w:p>
    <w:p w14:paraId="08A274DE" w14:textId="63B6CECC" w:rsidR="006B1108" w:rsidRPr="00B653A5" w:rsidRDefault="00354C5D" w:rsidP="0030148F">
      <w:pPr>
        <w:pStyle w:val="Heading3"/>
        <w:jc w:val="both"/>
      </w:pPr>
      <w:r w:rsidRPr="00B653A5">
        <w:t>Outlook</w:t>
      </w:r>
      <w:r w:rsidR="00AF0FDE">
        <w:t xml:space="preserve"> for the financial year 2016</w:t>
      </w:r>
    </w:p>
    <w:p w14:paraId="5B6A1B00" w14:textId="4B5EC942" w:rsidR="00354C5D" w:rsidRDefault="00AF0FDE" w:rsidP="0030148F">
      <w:pPr>
        <w:jc w:val="both"/>
      </w:pPr>
      <w:r w:rsidRPr="00AF0FDE">
        <w:t xml:space="preserve">The new financial year has begun </w:t>
      </w:r>
      <w:r w:rsidR="004202D2">
        <w:t>satisfactorily</w:t>
      </w:r>
      <w:r w:rsidRPr="00AF0FDE">
        <w:t xml:space="preserve">, with revenue growth in all </w:t>
      </w:r>
      <w:proofErr w:type="spellStart"/>
      <w:r w:rsidRPr="00AF0FDE">
        <w:t>payor</w:t>
      </w:r>
      <w:proofErr w:type="spellEnd"/>
      <w:r w:rsidRPr="00AF0FDE">
        <w:t xml:space="preserve"> groups. For the financial year as a whole:</w:t>
      </w:r>
    </w:p>
    <w:p w14:paraId="0828F8C8" w14:textId="552BA3F4" w:rsidR="00AF0FDE" w:rsidRDefault="00AF0FDE" w:rsidP="00AF0FDE">
      <w:pPr>
        <w:pStyle w:val="Bullet1"/>
        <w:jc w:val="both"/>
      </w:pPr>
      <w:r>
        <w:t xml:space="preserve">we expect to see low </w:t>
      </w:r>
      <w:r w:rsidR="00051FE6">
        <w:t>single-</w:t>
      </w:r>
      <w:r w:rsidR="009E0EAC">
        <w:t xml:space="preserve">digit revenue growth in </w:t>
      </w:r>
      <w:r w:rsidR="004202D2">
        <w:t>a</w:t>
      </w:r>
      <w:r>
        <w:t xml:space="preserve"> PMI market expected to be stable in volume terms through the year;</w:t>
      </w:r>
    </w:p>
    <w:p w14:paraId="26DCD478" w14:textId="6F1C367A" w:rsidR="00AF0FDE" w:rsidRDefault="009E0EAC" w:rsidP="00AF0FDE">
      <w:pPr>
        <w:pStyle w:val="Bullet1"/>
        <w:jc w:val="both"/>
      </w:pPr>
      <w:r>
        <w:t xml:space="preserve">in the Self-pay </w:t>
      </w:r>
      <w:r w:rsidR="001139DC">
        <w:t>business, we expect high single-</w:t>
      </w:r>
      <w:r>
        <w:t>digit revenue growt</w:t>
      </w:r>
      <w:r w:rsidR="006B6E3D">
        <w:t>h, arising from both volume and</w:t>
      </w:r>
      <w:r w:rsidR="003A1F01">
        <w:t xml:space="preserve"> </w:t>
      </w:r>
      <w:r w:rsidR="006B6E3D">
        <w:t>price increases arising from our more complex service offering</w:t>
      </w:r>
      <w:r w:rsidR="00AF0FDE">
        <w:t>;</w:t>
      </w:r>
    </w:p>
    <w:p w14:paraId="00CFC1D6" w14:textId="35395F3F" w:rsidR="00AF0FDE" w:rsidRDefault="009E0EAC" w:rsidP="00AF0FDE">
      <w:pPr>
        <w:pStyle w:val="Bullet1"/>
        <w:jc w:val="both"/>
      </w:pPr>
      <w:proofErr w:type="gramStart"/>
      <w:r>
        <w:t>in</w:t>
      </w:r>
      <w:proofErr w:type="gramEnd"/>
      <w:r>
        <w:t xml:space="preserve"> the NHS business, the new tariff at an uplift of 1.5% commences on 1 April 2016. We expect NHS e-Referral </w:t>
      </w:r>
      <w:r w:rsidR="00541EBC">
        <w:t xml:space="preserve">Service </w:t>
      </w:r>
      <w:r>
        <w:t xml:space="preserve">(formerly known as “Choose &amp; Book”) </w:t>
      </w:r>
      <w:r w:rsidR="00051FE6">
        <w:t>revenue growth to be low double-digit</w:t>
      </w:r>
      <w:r w:rsidR="003A1F01">
        <w:t>;</w:t>
      </w:r>
      <w:r w:rsidR="00051FE6">
        <w:t xml:space="preserve"> </w:t>
      </w:r>
      <w:r>
        <w:t>our NHS Local Contract revenue will be down materially in H1</w:t>
      </w:r>
      <w:r w:rsidR="003A1F01">
        <w:t xml:space="preserve"> compared with 2015</w:t>
      </w:r>
      <w:r>
        <w:t xml:space="preserve">, but </w:t>
      </w:r>
      <w:r w:rsidR="00700878">
        <w:t xml:space="preserve">is </w:t>
      </w:r>
      <w:r>
        <w:t xml:space="preserve">expected to stabilise in H2. </w:t>
      </w:r>
      <w:r w:rsidR="003A1F01">
        <w:t>In total</w:t>
      </w:r>
      <w:r>
        <w:t xml:space="preserve"> across 2016, </w:t>
      </w:r>
      <w:r w:rsidR="003A1F01">
        <w:t>we expect</w:t>
      </w:r>
      <w:r>
        <w:t xml:space="preserve"> N</w:t>
      </w:r>
      <w:r w:rsidR="00B56847">
        <w:t xml:space="preserve">HS revenue growth </w:t>
      </w:r>
      <w:r w:rsidR="003A1F01">
        <w:t>to</w:t>
      </w:r>
      <w:r w:rsidR="00541EBC">
        <w:t xml:space="preserve"> be</w:t>
      </w:r>
      <w:r w:rsidR="00B56847">
        <w:t xml:space="preserve"> mid-</w:t>
      </w:r>
      <w:r>
        <w:t>single digit.</w:t>
      </w:r>
    </w:p>
    <w:p w14:paraId="60F1D79B" w14:textId="7507C332" w:rsidR="00AF0FDE" w:rsidRDefault="00AF0FDE" w:rsidP="0030148F">
      <w:pPr>
        <w:jc w:val="both"/>
      </w:pPr>
      <w:r>
        <w:t xml:space="preserve">Because of the high H1 2015 NHS </w:t>
      </w:r>
      <w:r w:rsidR="00E07727">
        <w:t xml:space="preserve">revenue </w:t>
      </w:r>
      <w:r>
        <w:t>comparator (arising from the extra Local Contract work carried out by the private sector</w:t>
      </w:r>
      <w:r w:rsidR="001139DC">
        <w:t>,</w:t>
      </w:r>
      <w:r>
        <w:t xml:space="preserve"> including Spire Healthcare</w:t>
      </w:r>
      <w:r w:rsidR="001139DC">
        <w:t>,</w:t>
      </w:r>
      <w:r>
        <w:t xml:space="preserve"> before the May 2015 General Election), the relative revenue and EBITDA growth profile</w:t>
      </w:r>
      <w:r w:rsidR="00E07727">
        <w:t>s</w:t>
      </w:r>
      <w:r>
        <w:t xml:space="preserve"> between H1 2016 and H2 2016 </w:t>
      </w:r>
      <w:r w:rsidR="005D290A">
        <w:t>is expected to be</w:t>
      </w:r>
      <w:r>
        <w:t xml:space="preserve"> the reverse of 2015.</w:t>
      </w:r>
    </w:p>
    <w:p w14:paraId="69CCC78F" w14:textId="236F9750" w:rsidR="00AF0FDE" w:rsidRDefault="005D290A" w:rsidP="0030148F">
      <w:pPr>
        <w:jc w:val="both"/>
      </w:pPr>
      <w:r>
        <w:t>Overall</w:t>
      </w:r>
      <w:r w:rsidR="00AF0FDE">
        <w:t>, we expect that</w:t>
      </w:r>
      <w:r>
        <w:t xml:space="preserve"> in 2016</w:t>
      </w:r>
      <w:r w:rsidR="00AF0FDE">
        <w:t>:</w:t>
      </w:r>
    </w:p>
    <w:p w14:paraId="4C1FED77" w14:textId="6F9ACF02" w:rsidR="009E0EAC" w:rsidRDefault="009E0EAC" w:rsidP="009E0EAC">
      <w:pPr>
        <w:pStyle w:val="Bullet1"/>
        <w:jc w:val="both"/>
      </w:pPr>
      <w:r>
        <w:t>full year revenue will grow by</w:t>
      </w:r>
      <w:r w:rsidR="005D290A">
        <w:t xml:space="preserve"> between</w:t>
      </w:r>
      <w:r>
        <w:t xml:space="preserve"> 3.0% </w:t>
      </w:r>
      <w:r w:rsidR="005D290A">
        <w:t>and</w:t>
      </w:r>
      <w:r>
        <w:t xml:space="preserve"> 5.0%</w:t>
      </w:r>
      <w:r w:rsidR="00BC4DF7">
        <w:t xml:space="preserve">; </w:t>
      </w:r>
    </w:p>
    <w:p w14:paraId="7BA7810D" w14:textId="40F809E3" w:rsidR="00BC4DF7" w:rsidRDefault="009E0EAC" w:rsidP="009E0EAC">
      <w:pPr>
        <w:pStyle w:val="Bullet1"/>
        <w:jc w:val="both"/>
      </w:pPr>
      <w:r>
        <w:t xml:space="preserve">the Group’s </w:t>
      </w:r>
      <w:r w:rsidR="005D290A">
        <w:t xml:space="preserve">adjusted for comparable </w:t>
      </w:r>
      <w:r>
        <w:t>EBITDA margin for the year as a whole will remain consistent with that</w:t>
      </w:r>
      <w:r w:rsidR="005D290A">
        <w:t xml:space="preserve"> for</w:t>
      </w:r>
      <w:r>
        <w:t xml:space="preserve"> 2015</w:t>
      </w:r>
      <w:r w:rsidR="00BC4DF7">
        <w:t>; and</w:t>
      </w:r>
    </w:p>
    <w:p w14:paraId="7FE5C85E" w14:textId="40A8F576" w:rsidR="009E0EAC" w:rsidRDefault="00BC4DF7" w:rsidP="009E0EAC">
      <w:pPr>
        <w:pStyle w:val="Bullet1"/>
        <w:jc w:val="both"/>
      </w:pPr>
      <w:proofErr w:type="gramStart"/>
      <w:r>
        <w:t>capital</w:t>
      </w:r>
      <w:proofErr w:type="gramEnd"/>
      <w:r>
        <w:t xml:space="preserve"> expenditure </w:t>
      </w:r>
      <w:r w:rsidR="005D290A">
        <w:t>will</w:t>
      </w:r>
      <w:r>
        <w:t xml:space="preserve"> be </w:t>
      </w:r>
      <w:r w:rsidR="005D290A">
        <w:t>between</w:t>
      </w:r>
      <w:r>
        <w:t xml:space="preserve"> £170 million </w:t>
      </w:r>
      <w:r w:rsidR="005D290A">
        <w:t>and</w:t>
      </w:r>
      <w:r>
        <w:t xml:space="preserve"> £190 million</w:t>
      </w:r>
      <w:r w:rsidR="004A4394">
        <w:t>.</w:t>
      </w:r>
    </w:p>
    <w:p w14:paraId="710C5B31" w14:textId="77777777" w:rsidR="003D7ADB" w:rsidRDefault="003D7ADB">
      <w:pPr>
        <w:spacing w:after="160" w:line="259" w:lineRule="auto"/>
        <w:rPr>
          <w:rFonts w:asciiTheme="majorHAnsi" w:eastAsiaTheme="majorEastAsia" w:hAnsiTheme="majorHAnsi" w:cstheme="majorBidi"/>
          <w:sz w:val="56"/>
          <w:szCs w:val="32"/>
        </w:rPr>
      </w:pPr>
      <w:r>
        <w:br w:type="page"/>
      </w:r>
    </w:p>
    <w:p w14:paraId="18A80DA4" w14:textId="5B373C2C" w:rsidR="00CF0295" w:rsidRDefault="00CF0295" w:rsidP="00B2361E">
      <w:pPr>
        <w:pStyle w:val="Heading1"/>
      </w:pPr>
      <w:r w:rsidRPr="00B2361E">
        <w:lastRenderedPageBreak/>
        <w:t>Financial review</w:t>
      </w:r>
    </w:p>
    <w:p w14:paraId="02201530" w14:textId="4D649131" w:rsidR="00F3229F" w:rsidRPr="00F3229F" w:rsidRDefault="005A2B0F" w:rsidP="0030148F">
      <w:pPr>
        <w:jc w:val="both"/>
      </w:pPr>
      <w:r w:rsidRPr="005A2B0F">
        <w:t xml:space="preserve">Revenue growth </w:t>
      </w:r>
      <w:r>
        <w:t xml:space="preserve">continued in 2015, up £28.8 million in the year (+3.4% on 2014). Growth was reported across all </w:t>
      </w:r>
      <w:proofErr w:type="spellStart"/>
      <w:r>
        <w:t>payor</w:t>
      </w:r>
      <w:proofErr w:type="spellEnd"/>
      <w:r>
        <w:t xml:space="preserve"> groups, flowing through to </w:t>
      </w:r>
      <w:proofErr w:type="gramStart"/>
      <w:r>
        <w:t>increased</w:t>
      </w:r>
      <w:proofErr w:type="gramEnd"/>
      <w:r>
        <w:t xml:space="preserve"> EBITDA. Strong conversion of earnings to cash flow reduced net debt</w:t>
      </w:r>
      <w:r w:rsidR="00E07727">
        <w:t>,</w:t>
      </w:r>
      <w:r>
        <w:t xml:space="preserve"> notwithstanding significant investment in capital expenditure in the year</w:t>
      </w:r>
      <w:r w:rsidR="00F3229F" w:rsidRPr="005A2B0F">
        <w:t>.</w:t>
      </w:r>
    </w:p>
    <w:p w14:paraId="23D9864A" w14:textId="77777777" w:rsidR="00CF0295" w:rsidRPr="00B2361E" w:rsidRDefault="00CF0295" w:rsidP="003032A7">
      <w:pPr>
        <w:pStyle w:val="Heading3"/>
      </w:pPr>
      <w:r w:rsidRPr="00B2361E">
        <w:t>SELECTED FINANCIAL INFORMATION</w:t>
      </w:r>
    </w:p>
    <w:tbl>
      <w:tblPr>
        <w:tblW w:w="9072" w:type="dxa"/>
        <w:tblLayout w:type="fixed"/>
        <w:tblCellMar>
          <w:left w:w="0" w:type="dxa"/>
          <w:right w:w="57" w:type="dxa"/>
        </w:tblCellMar>
        <w:tblLook w:val="0000" w:firstRow="0" w:lastRow="0" w:firstColumn="0" w:lastColumn="0" w:noHBand="0" w:noVBand="0"/>
      </w:tblPr>
      <w:tblGrid>
        <w:gridCol w:w="5332"/>
        <w:gridCol w:w="917"/>
        <w:gridCol w:w="1123"/>
        <w:gridCol w:w="818"/>
        <w:gridCol w:w="882"/>
      </w:tblGrid>
      <w:tr w:rsidR="002B6D8E" w:rsidRPr="003C0ACD" w14:paraId="379FD789" w14:textId="77777777" w:rsidTr="002B6D8E">
        <w:tc>
          <w:tcPr>
            <w:tcW w:w="5332" w:type="dxa"/>
            <w:tcBorders>
              <w:left w:val="nil"/>
              <w:right w:val="nil"/>
            </w:tcBorders>
            <w:shd w:val="clear" w:color="auto" w:fill="auto"/>
          </w:tcPr>
          <w:p w14:paraId="06D67888" w14:textId="77777777" w:rsidR="002B6D8E" w:rsidRPr="00B2361E" w:rsidRDefault="002B6D8E" w:rsidP="002B6D8E">
            <w:pPr>
              <w:keepNext/>
              <w:keepLines/>
              <w:kinsoku w:val="0"/>
              <w:overflowPunct w:val="0"/>
              <w:autoSpaceDE w:val="0"/>
              <w:autoSpaceDN w:val="0"/>
              <w:adjustRightInd w:val="0"/>
              <w:spacing w:after="0" w:line="240" w:lineRule="auto"/>
              <w:ind w:hanging="1"/>
              <w:rPr>
                <w:rFonts w:cstheme="minorHAnsi"/>
                <w:b/>
                <w:bCs/>
                <w:color w:val="706F6F"/>
                <w:spacing w:val="-4"/>
                <w:w w:val="105"/>
                <w:sz w:val="14"/>
                <w:szCs w:val="14"/>
              </w:rPr>
            </w:pPr>
          </w:p>
        </w:tc>
        <w:tc>
          <w:tcPr>
            <w:tcW w:w="3740" w:type="dxa"/>
            <w:gridSpan w:val="4"/>
            <w:tcBorders>
              <w:left w:val="nil"/>
              <w:bottom w:val="single" w:sz="2" w:space="0" w:color="93B7BB"/>
              <w:right w:val="nil"/>
            </w:tcBorders>
            <w:shd w:val="clear" w:color="auto" w:fill="auto"/>
            <w:vAlign w:val="bottom"/>
          </w:tcPr>
          <w:p w14:paraId="1B697450" w14:textId="1B7F0D5C" w:rsidR="002B6D8E" w:rsidRPr="00B2361E" w:rsidRDefault="002B6D8E" w:rsidP="002B6D8E">
            <w:pPr>
              <w:pStyle w:val="Tableheading"/>
              <w:keepNext/>
              <w:keepLines/>
              <w:spacing w:before="0" w:after="0"/>
              <w:jc w:val="center"/>
              <w:rPr>
                <w:b/>
                <w:bCs/>
              </w:rPr>
            </w:pPr>
            <w:r>
              <w:t xml:space="preserve">Year </w:t>
            </w:r>
            <w:r w:rsidRPr="00587138">
              <w:t>ended 3</w:t>
            </w:r>
            <w:r>
              <w:t>1</w:t>
            </w:r>
            <w:r w:rsidRPr="00587138">
              <w:t xml:space="preserve"> </w:t>
            </w:r>
            <w:r>
              <w:t>December</w:t>
            </w:r>
          </w:p>
        </w:tc>
      </w:tr>
      <w:tr w:rsidR="002B6D8E" w:rsidRPr="003C0ACD" w14:paraId="19816833" w14:textId="77777777" w:rsidTr="002B6D8E">
        <w:tc>
          <w:tcPr>
            <w:tcW w:w="5332" w:type="dxa"/>
            <w:tcBorders>
              <w:left w:val="nil"/>
              <w:bottom w:val="single" w:sz="4" w:space="0" w:color="93B7BB"/>
              <w:right w:val="nil"/>
            </w:tcBorders>
            <w:shd w:val="clear" w:color="auto" w:fill="auto"/>
            <w:vAlign w:val="bottom"/>
          </w:tcPr>
          <w:p w14:paraId="0A1C7EA3" w14:textId="77777777" w:rsidR="002B6D8E" w:rsidRPr="00B2361E" w:rsidRDefault="002B6D8E" w:rsidP="002B6D8E">
            <w:pPr>
              <w:pStyle w:val="Tableheading"/>
              <w:keepNext/>
              <w:keepLines/>
              <w:spacing w:before="0" w:after="0"/>
              <w:rPr>
                <w:b/>
                <w:bCs/>
              </w:rPr>
            </w:pPr>
            <w:r w:rsidRPr="00B2361E">
              <w:rPr>
                <w:b/>
                <w:bCs/>
              </w:rPr>
              <w:t>(£ million)</w:t>
            </w:r>
          </w:p>
        </w:tc>
        <w:tc>
          <w:tcPr>
            <w:tcW w:w="917" w:type="dxa"/>
            <w:tcBorders>
              <w:top w:val="single" w:sz="4" w:space="0" w:color="93B7BB"/>
              <w:left w:val="nil"/>
              <w:bottom w:val="single" w:sz="4" w:space="0" w:color="93B7BB"/>
              <w:right w:val="nil"/>
            </w:tcBorders>
            <w:shd w:val="clear" w:color="auto" w:fill="auto"/>
            <w:vAlign w:val="bottom"/>
          </w:tcPr>
          <w:p w14:paraId="0232DADB" w14:textId="77777777" w:rsidR="002B6D8E" w:rsidRPr="00B2361E" w:rsidRDefault="002B6D8E" w:rsidP="002B6D8E">
            <w:pPr>
              <w:pStyle w:val="Tableheading"/>
              <w:keepNext/>
              <w:keepLines/>
              <w:spacing w:before="0" w:after="0"/>
              <w:jc w:val="right"/>
              <w:rPr>
                <w:b/>
                <w:bCs/>
                <w:spacing w:val="-2"/>
              </w:rPr>
            </w:pPr>
            <w:r w:rsidRPr="00B2361E">
              <w:rPr>
                <w:b/>
                <w:bCs/>
                <w:spacing w:val="-1"/>
              </w:rPr>
              <w:t>201</w:t>
            </w:r>
            <w:r>
              <w:rPr>
                <w:b/>
                <w:bCs/>
                <w:spacing w:val="-1"/>
              </w:rPr>
              <w:t>5</w:t>
            </w:r>
          </w:p>
        </w:tc>
        <w:tc>
          <w:tcPr>
            <w:tcW w:w="1123" w:type="dxa"/>
            <w:tcBorders>
              <w:top w:val="single" w:sz="4" w:space="0" w:color="93B7BB"/>
              <w:left w:val="nil"/>
              <w:bottom w:val="single" w:sz="4" w:space="0" w:color="93B7BB"/>
              <w:right w:val="nil"/>
            </w:tcBorders>
            <w:shd w:val="clear" w:color="auto" w:fill="auto"/>
            <w:vAlign w:val="bottom"/>
          </w:tcPr>
          <w:p w14:paraId="7402BA67" w14:textId="77777777" w:rsidR="002B6D8E" w:rsidRPr="00B2361E" w:rsidRDefault="002B6D8E" w:rsidP="002B6D8E">
            <w:pPr>
              <w:pStyle w:val="Tableheading"/>
              <w:keepNext/>
              <w:keepLines/>
              <w:spacing w:before="0" w:after="0"/>
              <w:jc w:val="right"/>
              <w:rPr>
                <w:spacing w:val="-2"/>
              </w:rPr>
            </w:pPr>
            <w:r w:rsidRPr="00B2361E">
              <w:t>201</w:t>
            </w:r>
            <w:r>
              <w:t>4</w:t>
            </w:r>
          </w:p>
        </w:tc>
        <w:tc>
          <w:tcPr>
            <w:tcW w:w="818" w:type="dxa"/>
            <w:tcBorders>
              <w:top w:val="single" w:sz="4" w:space="0" w:color="93B7BB"/>
              <w:left w:val="nil"/>
              <w:bottom w:val="single" w:sz="4" w:space="0" w:color="93B7BB"/>
              <w:right w:val="nil"/>
            </w:tcBorders>
            <w:shd w:val="clear" w:color="auto" w:fill="auto"/>
            <w:vAlign w:val="bottom"/>
          </w:tcPr>
          <w:p w14:paraId="4E624F14" w14:textId="77777777" w:rsidR="00DE02C0" w:rsidRDefault="002B6D8E" w:rsidP="002B6D8E">
            <w:pPr>
              <w:pStyle w:val="Tableheading"/>
              <w:keepNext/>
              <w:keepLines/>
              <w:spacing w:before="0" w:after="0"/>
              <w:jc w:val="right"/>
              <w:rPr>
                <w:spacing w:val="-5"/>
              </w:rPr>
            </w:pPr>
            <w:r w:rsidRPr="00B2361E">
              <w:rPr>
                <w:spacing w:val="-2"/>
              </w:rPr>
              <w:t>Varianc</w:t>
            </w:r>
            <w:r w:rsidRPr="00B2361E">
              <w:t>e</w:t>
            </w:r>
            <w:r w:rsidRPr="00B2361E">
              <w:rPr>
                <w:spacing w:val="-5"/>
              </w:rPr>
              <w:t xml:space="preserve"> </w:t>
            </w:r>
          </w:p>
          <w:p w14:paraId="27B60020" w14:textId="2C809207" w:rsidR="002B6D8E" w:rsidRPr="00B2361E" w:rsidRDefault="002B6D8E" w:rsidP="002B6D8E">
            <w:pPr>
              <w:pStyle w:val="Tableheading"/>
              <w:keepNext/>
              <w:keepLines/>
              <w:spacing w:before="0" w:after="0"/>
              <w:jc w:val="right"/>
              <w:rPr>
                <w:spacing w:val="-1"/>
              </w:rPr>
            </w:pPr>
            <w:r w:rsidRPr="00B2361E">
              <w:t>%</w:t>
            </w:r>
          </w:p>
        </w:tc>
        <w:tc>
          <w:tcPr>
            <w:tcW w:w="882" w:type="dxa"/>
            <w:tcBorders>
              <w:top w:val="single" w:sz="4" w:space="0" w:color="93B7BB"/>
              <w:left w:val="nil"/>
              <w:bottom w:val="single" w:sz="4" w:space="0" w:color="93B7BB"/>
              <w:right w:val="nil"/>
            </w:tcBorders>
            <w:shd w:val="clear" w:color="auto" w:fill="auto"/>
            <w:vAlign w:val="bottom"/>
          </w:tcPr>
          <w:p w14:paraId="5B6ECF43" w14:textId="77777777" w:rsidR="00DE02C0" w:rsidRDefault="002B6D8E" w:rsidP="00C744E9">
            <w:pPr>
              <w:pStyle w:val="Tableheading"/>
              <w:keepNext/>
              <w:keepLines/>
              <w:spacing w:before="0" w:after="0"/>
              <w:jc w:val="right"/>
              <w:rPr>
                <w:spacing w:val="-8"/>
              </w:rPr>
            </w:pPr>
            <w:r w:rsidRPr="00B2361E">
              <w:rPr>
                <w:spacing w:val="-2"/>
              </w:rPr>
              <w:t>Varianc</w:t>
            </w:r>
            <w:r w:rsidRPr="00B2361E">
              <w:t>e</w:t>
            </w:r>
            <w:r w:rsidRPr="00B2361E">
              <w:rPr>
                <w:spacing w:val="21"/>
                <w:w w:val="101"/>
              </w:rPr>
              <w:t xml:space="preserve"> </w:t>
            </w:r>
            <w:r w:rsidRPr="00B2361E">
              <w:t>e</w:t>
            </w:r>
            <w:r w:rsidRPr="00B2361E">
              <w:rPr>
                <w:spacing w:val="-2"/>
              </w:rPr>
              <w:t>xcluding</w:t>
            </w:r>
            <w:r w:rsidRPr="00B2361E">
              <w:rPr>
                <w:spacing w:val="25"/>
                <w:w w:val="114"/>
              </w:rPr>
              <w:t xml:space="preserve"> </w:t>
            </w:r>
            <w:r w:rsidRPr="00B2361E">
              <w:rPr>
                <w:spacing w:val="-2"/>
              </w:rPr>
              <w:t>acquisiti</w:t>
            </w:r>
            <w:r w:rsidRPr="00B2361E">
              <w:t>o</w:t>
            </w:r>
            <w:r w:rsidRPr="00B2361E">
              <w:rPr>
                <w:spacing w:val="-2"/>
              </w:rPr>
              <w:t>n</w:t>
            </w:r>
            <w:r w:rsidR="00DE02C0">
              <w:rPr>
                <w:spacing w:val="-2"/>
              </w:rPr>
              <w:t>s</w:t>
            </w:r>
            <w:r>
              <w:rPr>
                <w:spacing w:val="-2"/>
              </w:rPr>
              <w:t xml:space="preserve"> / dispo</w:t>
            </w:r>
            <w:r w:rsidRPr="00B2361E">
              <w:rPr>
                <w:spacing w:val="-2"/>
              </w:rPr>
              <w:t>s</w:t>
            </w:r>
            <w:r>
              <w:rPr>
                <w:spacing w:val="-2"/>
              </w:rPr>
              <w:t>al</w:t>
            </w:r>
            <w:r w:rsidR="00DE02C0">
              <w:rPr>
                <w:spacing w:val="-2"/>
              </w:rPr>
              <w:t>s</w:t>
            </w:r>
            <w:r w:rsidRPr="00B2361E">
              <w:rPr>
                <w:spacing w:val="-8"/>
              </w:rPr>
              <w:t xml:space="preserve"> </w:t>
            </w:r>
          </w:p>
          <w:p w14:paraId="0C2F9C07" w14:textId="45122A6F" w:rsidR="002B6D8E" w:rsidRPr="00B2361E" w:rsidRDefault="002B6D8E" w:rsidP="00C744E9">
            <w:pPr>
              <w:pStyle w:val="Tableheading"/>
              <w:keepNext/>
              <w:keepLines/>
              <w:spacing w:before="0" w:after="0"/>
              <w:jc w:val="right"/>
            </w:pPr>
            <w:r w:rsidRPr="00B2361E">
              <w:rPr>
                <w:spacing w:val="-1"/>
              </w:rPr>
              <w:t>%</w:t>
            </w:r>
            <w:r w:rsidR="00C744E9">
              <w:rPr>
                <w:spacing w:val="-1"/>
              </w:rPr>
              <w:t xml:space="preserve"> (1)</w:t>
            </w:r>
          </w:p>
        </w:tc>
      </w:tr>
      <w:tr w:rsidR="002B6D8E" w:rsidRPr="00716EDB" w14:paraId="66B15CDB" w14:textId="77777777" w:rsidTr="002B6D8E">
        <w:tc>
          <w:tcPr>
            <w:tcW w:w="5332" w:type="dxa"/>
            <w:tcBorders>
              <w:top w:val="single" w:sz="4" w:space="0" w:color="93B7BB"/>
              <w:left w:val="nil"/>
              <w:right w:val="nil"/>
            </w:tcBorders>
          </w:tcPr>
          <w:p w14:paraId="14873416" w14:textId="77777777" w:rsidR="002B6D8E" w:rsidRPr="00B2361E" w:rsidRDefault="002B6D8E" w:rsidP="002B6D8E">
            <w:pPr>
              <w:pStyle w:val="Tabletext"/>
              <w:keepNext/>
              <w:keepLines/>
              <w:rPr>
                <w:b/>
                <w:bCs/>
                <w:color w:val="000000"/>
                <w:spacing w:val="0"/>
                <w:w w:val="100"/>
              </w:rPr>
            </w:pPr>
            <w:r w:rsidRPr="00B2361E">
              <w:rPr>
                <w:b/>
                <w:bCs/>
              </w:rPr>
              <w:t>Re</w:t>
            </w:r>
            <w:r w:rsidRPr="00B2361E">
              <w:rPr>
                <w:b/>
                <w:bCs/>
                <w:spacing w:val="-3"/>
              </w:rPr>
              <w:t>v</w:t>
            </w:r>
            <w:r w:rsidRPr="00B2361E">
              <w:rPr>
                <w:b/>
                <w:bCs/>
              </w:rPr>
              <w:t>e</w:t>
            </w:r>
            <w:r w:rsidRPr="00B2361E">
              <w:rPr>
                <w:b/>
                <w:bCs/>
                <w:spacing w:val="-3"/>
              </w:rPr>
              <w:t>nu</w:t>
            </w:r>
            <w:r w:rsidRPr="00B2361E">
              <w:rPr>
                <w:b/>
                <w:bCs/>
              </w:rPr>
              <w:t>e</w:t>
            </w:r>
          </w:p>
        </w:tc>
        <w:tc>
          <w:tcPr>
            <w:tcW w:w="917" w:type="dxa"/>
            <w:tcBorders>
              <w:top w:val="single" w:sz="4" w:space="0" w:color="93B7BB"/>
              <w:left w:val="nil"/>
              <w:right w:val="nil"/>
            </w:tcBorders>
            <w:shd w:val="clear" w:color="auto" w:fill="EFF4F5"/>
            <w:vAlign w:val="bottom"/>
          </w:tcPr>
          <w:p w14:paraId="21E5F561" w14:textId="3F0E9F6A" w:rsidR="002B6D8E" w:rsidRPr="00B2361E" w:rsidRDefault="00277C7F" w:rsidP="002B6D8E">
            <w:pPr>
              <w:pStyle w:val="Tabletext"/>
              <w:keepNext/>
              <w:keepLines/>
              <w:jc w:val="right"/>
              <w:rPr>
                <w:b/>
                <w:bCs/>
              </w:rPr>
            </w:pPr>
            <w:r>
              <w:rPr>
                <w:b/>
                <w:bCs/>
              </w:rPr>
              <w:t>884.8</w:t>
            </w:r>
          </w:p>
        </w:tc>
        <w:tc>
          <w:tcPr>
            <w:tcW w:w="1123" w:type="dxa"/>
            <w:tcBorders>
              <w:top w:val="single" w:sz="4" w:space="0" w:color="93B7BB"/>
              <w:left w:val="nil"/>
              <w:right w:val="nil"/>
            </w:tcBorders>
            <w:vAlign w:val="bottom"/>
          </w:tcPr>
          <w:p w14:paraId="0E03455C" w14:textId="144C9FF0" w:rsidR="002B6D8E" w:rsidRPr="00B2361E" w:rsidRDefault="00102023" w:rsidP="00102023">
            <w:pPr>
              <w:pStyle w:val="Tabletext"/>
              <w:keepNext/>
              <w:keepLines/>
              <w:jc w:val="right"/>
              <w:rPr>
                <w:b/>
                <w:bCs/>
                <w:color w:val="000000"/>
              </w:rPr>
            </w:pPr>
            <w:r>
              <w:rPr>
                <w:b/>
                <w:bCs/>
              </w:rPr>
              <w:t>856</w:t>
            </w:r>
            <w:r w:rsidR="002B6D8E" w:rsidRPr="00B2361E">
              <w:rPr>
                <w:b/>
                <w:bCs/>
                <w:spacing w:val="-3"/>
              </w:rPr>
              <w:t>.</w:t>
            </w:r>
            <w:r>
              <w:rPr>
                <w:b/>
                <w:bCs/>
                <w:spacing w:val="-3"/>
              </w:rPr>
              <w:t>0</w:t>
            </w:r>
          </w:p>
        </w:tc>
        <w:tc>
          <w:tcPr>
            <w:tcW w:w="818" w:type="dxa"/>
            <w:tcBorders>
              <w:top w:val="single" w:sz="4" w:space="0" w:color="93B7BB"/>
              <w:left w:val="nil"/>
              <w:right w:val="nil"/>
            </w:tcBorders>
            <w:vAlign w:val="bottom"/>
          </w:tcPr>
          <w:p w14:paraId="2E8899F6" w14:textId="0A33186D" w:rsidR="002B6D8E" w:rsidRPr="00277C7F" w:rsidRDefault="00277C7F" w:rsidP="00277C7F">
            <w:pPr>
              <w:pStyle w:val="Tabletext"/>
              <w:keepNext/>
              <w:keepLines/>
              <w:jc w:val="right"/>
              <w:rPr>
                <w:b/>
                <w:bCs/>
                <w:color w:val="000000"/>
              </w:rPr>
            </w:pPr>
            <w:r w:rsidRPr="00277C7F">
              <w:rPr>
                <w:b/>
                <w:bCs/>
                <w:spacing w:val="-1"/>
              </w:rPr>
              <w:t>3</w:t>
            </w:r>
            <w:r w:rsidR="002B6D8E" w:rsidRPr="00277C7F">
              <w:rPr>
                <w:b/>
                <w:bCs/>
              </w:rPr>
              <w:t>.</w:t>
            </w:r>
            <w:r w:rsidRPr="00277C7F">
              <w:rPr>
                <w:b/>
                <w:bCs/>
              </w:rPr>
              <w:t>4</w:t>
            </w:r>
            <w:r w:rsidR="002B6D8E" w:rsidRPr="00277C7F">
              <w:rPr>
                <w:b/>
                <w:bCs/>
                <w:spacing w:val="-1"/>
              </w:rPr>
              <w:t>%</w:t>
            </w:r>
          </w:p>
        </w:tc>
        <w:tc>
          <w:tcPr>
            <w:tcW w:w="882" w:type="dxa"/>
            <w:tcBorders>
              <w:top w:val="single" w:sz="4" w:space="0" w:color="93B7BB"/>
              <w:left w:val="nil"/>
              <w:right w:val="nil"/>
            </w:tcBorders>
            <w:vAlign w:val="bottom"/>
          </w:tcPr>
          <w:p w14:paraId="49874D68" w14:textId="0BADCD48" w:rsidR="002B6D8E" w:rsidRPr="00277C7F" w:rsidRDefault="00277C7F" w:rsidP="00277C7F">
            <w:pPr>
              <w:pStyle w:val="Tabletext"/>
              <w:keepNext/>
              <w:keepLines/>
              <w:jc w:val="right"/>
              <w:rPr>
                <w:b/>
                <w:bCs/>
                <w:color w:val="000000"/>
              </w:rPr>
            </w:pPr>
            <w:r w:rsidRPr="00277C7F">
              <w:rPr>
                <w:b/>
                <w:bCs/>
                <w:spacing w:val="-1"/>
              </w:rPr>
              <w:t>2</w:t>
            </w:r>
            <w:r w:rsidR="00947E80" w:rsidRPr="00277C7F">
              <w:rPr>
                <w:b/>
                <w:bCs/>
              </w:rPr>
              <w:t>.</w:t>
            </w:r>
            <w:r w:rsidRPr="00277C7F">
              <w:rPr>
                <w:b/>
                <w:bCs/>
              </w:rPr>
              <w:t>5</w:t>
            </w:r>
            <w:r w:rsidR="002B6D8E" w:rsidRPr="00277C7F">
              <w:rPr>
                <w:b/>
                <w:bCs/>
                <w:spacing w:val="-3"/>
              </w:rPr>
              <w:t>%</w:t>
            </w:r>
          </w:p>
        </w:tc>
      </w:tr>
      <w:tr w:rsidR="002B6D8E" w:rsidRPr="00716EDB" w14:paraId="594F016A" w14:textId="77777777" w:rsidTr="002B6D8E">
        <w:tc>
          <w:tcPr>
            <w:tcW w:w="5332" w:type="dxa"/>
            <w:tcBorders>
              <w:left w:val="nil"/>
              <w:bottom w:val="single" w:sz="2" w:space="0" w:color="93B7BB"/>
              <w:right w:val="nil"/>
            </w:tcBorders>
          </w:tcPr>
          <w:p w14:paraId="3D4421BD" w14:textId="77777777" w:rsidR="002B6D8E" w:rsidRPr="00B2361E" w:rsidRDefault="002B6D8E" w:rsidP="002B6D8E">
            <w:pPr>
              <w:pStyle w:val="Tabletext"/>
              <w:keepNext/>
              <w:keepLines/>
              <w:rPr>
                <w:color w:val="auto"/>
              </w:rPr>
            </w:pPr>
            <w:r w:rsidRPr="00B2361E">
              <w:t>C</w:t>
            </w:r>
            <w:r w:rsidRPr="00B2361E">
              <w:rPr>
                <w:spacing w:val="-3"/>
              </w:rPr>
              <w:t>o</w:t>
            </w:r>
            <w:r w:rsidRPr="00B2361E">
              <w:t>st</w:t>
            </w:r>
            <w:r w:rsidRPr="00B2361E">
              <w:rPr>
                <w:spacing w:val="-1"/>
              </w:rPr>
              <w:t xml:space="preserve"> </w:t>
            </w:r>
            <w:r w:rsidRPr="00B2361E">
              <w:t>o</w:t>
            </w:r>
            <w:r w:rsidRPr="00B2361E">
              <w:rPr>
                <w:spacing w:val="-1"/>
              </w:rPr>
              <w:t>f</w:t>
            </w:r>
            <w:r w:rsidRPr="00B2361E">
              <w:t xml:space="preserve"> </w:t>
            </w:r>
            <w:r w:rsidRPr="00B2361E">
              <w:rPr>
                <w:spacing w:val="-3"/>
              </w:rPr>
              <w:t>sal</w:t>
            </w:r>
            <w:r w:rsidRPr="00B2361E">
              <w:t>e</w:t>
            </w:r>
            <w:r w:rsidRPr="00B2361E">
              <w:rPr>
                <w:spacing w:val="-3"/>
              </w:rPr>
              <w:t>s</w:t>
            </w:r>
          </w:p>
        </w:tc>
        <w:tc>
          <w:tcPr>
            <w:tcW w:w="917" w:type="dxa"/>
            <w:tcBorders>
              <w:left w:val="nil"/>
              <w:bottom w:val="single" w:sz="2" w:space="0" w:color="93B7BB"/>
              <w:right w:val="nil"/>
            </w:tcBorders>
            <w:shd w:val="clear" w:color="auto" w:fill="EFF4F5"/>
            <w:vAlign w:val="bottom"/>
          </w:tcPr>
          <w:p w14:paraId="79CF23E0" w14:textId="60495CA8" w:rsidR="002B6D8E" w:rsidRPr="00E036BE" w:rsidRDefault="00277C7F" w:rsidP="002B6D8E">
            <w:pPr>
              <w:pStyle w:val="Tabletext"/>
              <w:keepNext/>
              <w:keepLines/>
              <w:jc w:val="right"/>
              <w:rPr>
                <w:b/>
                <w:bCs/>
              </w:rPr>
            </w:pPr>
            <w:r>
              <w:rPr>
                <w:b/>
                <w:bCs/>
              </w:rPr>
              <w:t>(460.0)</w:t>
            </w:r>
          </w:p>
        </w:tc>
        <w:tc>
          <w:tcPr>
            <w:tcW w:w="1123" w:type="dxa"/>
            <w:tcBorders>
              <w:left w:val="nil"/>
              <w:bottom w:val="single" w:sz="2" w:space="0" w:color="93B7BB"/>
              <w:right w:val="nil"/>
            </w:tcBorders>
            <w:vAlign w:val="bottom"/>
          </w:tcPr>
          <w:p w14:paraId="1AA04EE0" w14:textId="7382B9B0" w:rsidR="002B6D8E" w:rsidRPr="00F87231" w:rsidRDefault="002B6D8E" w:rsidP="00102023">
            <w:pPr>
              <w:pStyle w:val="Tabletext"/>
              <w:keepNext/>
              <w:keepLines/>
              <w:jc w:val="right"/>
            </w:pPr>
            <w:r w:rsidRPr="00F87231">
              <w:t>(</w:t>
            </w:r>
            <w:r w:rsidR="00102023" w:rsidRPr="00F87231">
              <w:t>436</w:t>
            </w:r>
            <w:r w:rsidRPr="00F87231">
              <w:t>.</w:t>
            </w:r>
            <w:r w:rsidR="00102023" w:rsidRPr="00F87231">
              <w:t>6</w:t>
            </w:r>
            <w:r w:rsidRPr="00F87231">
              <w:t>)</w:t>
            </w:r>
          </w:p>
        </w:tc>
        <w:tc>
          <w:tcPr>
            <w:tcW w:w="818" w:type="dxa"/>
            <w:tcBorders>
              <w:left w:val="nil"/>
              <w:bottom w:val="single" w:sz="2" w:space="0" w:color="93B7BB"/>
              <w:right w:val="nil"/>
            </w:tcBorders>
            <w:vAlign w:val="bottom"/>
          </w:tcPr>
          <w:p w14:paraId="12FE9CA7" w14:textId="6461B8ED" w:rsidR="002B6D8E" w:rsidRPr="00277C7F" w:rsidRDefault="002B6D8E" w:rsidP="00277C7F">
            <w:pPr>
              <w:pStyle w:val="Tabletext"/>
              <w:keepNext/>
              <w:keepLines/>
              <w:jc w:val="right"/>
              <w:rPr>
                <w:color w:val="auto"/>
              </w:rPr>
            </w:pPr>
            <w:r w:rsidRPr="00277C7F">
              <w:rPr>
                <w:spacing w:val="-6"/>
              </w:rPr>
              <w:t xml:space="preserve"> (</w:t>
            </w:r>
            <w:r w:rsidR="00277C7F">
              <w:rPr>
                <w:bCs/>
                <w:spacing w:val="-1"/>
              </w:rPr>
              <w:t>5</w:t>
            </w:r>
            <w:r w:rsidR="00947E80" w:rsidRPr="00277C7F">
              <w:rPr>
                <w:bCs/>
              </w:rPr>
              <w:t>.</w:t>
            </w:r>
            <w:r w:rsidR="00277C7F">
              <w:rPr>
                <w:bCs/>
              </w:rPr>
              <w:t>4</w:t>
            </w:r>
            <w:r w:rsidRPr="00277C7F">
              <w:rPr>
                <w:spacing w:val="-6"/>
              </w:rPr>
              <w:t>%)</w:t>
            </w:r>
          </w:p>
        </w:tc>
        <w:tc>
          <w:tcPr>
            <w:tcW w:w="882" w:type="dxa"/>
            <w:tcBorders>
              <w:left w:val="nil"/>
              <w:bottom w:val="single" w:sz="2" w:space="0" w:color="93B7BB"/>
              <w:right w:val="nil"/>
            </w:tcBorders>
            <w:vAlign w:val="bottom"/>
          </w:tcPr>
          <w:p w14:paraId="4CCC6BC3" w14:textId="3AF85D7F" w:rsidR="002B6D8E" w:rsidRPr="00277C7F" w:rsidRDefault="002B6D8E" w:rsidP="00277C7F">
            <w:pPr>
              <w:pStyle w:val="Tabletext"/>
              <w:keepNext/>
              <w:keepLines/>
              <w:jc w:val="right"/>
              <w:rPr>
                <w:color w:val="auto"/>
              </w:rPr>
            </w:pPr>
            <w:r w:rsidRPr="00277C7F">
              <w:rPr>
                <w:spacing w:val="-6"/>
              </w:rPr>
              <w:t xml:space="preserve"> (</w:t>
            </w:r>
            <w:r w:rsidR="00277C7F">
              <w:rPr>
                <w:spacing w:val="-6"/>
              </w:rPr>
              <w:t>4</w:t>
            </w:r>
            <w:r w:rsidR="00947E80" w:rsidRPr="00277C7F">
              <w:rPr>
                <w:bCs/>
              </w:rPr>
              <w:t>.</w:t>
            </w:r>
            <w:r w:rsidR="00277C7F">
              <w:rPr>
                <w:bCs/>
              </w:rPr>
              <w:t>1</w:t>
            </w:r>
            <w:r w:rsidRPr="00277C7F">
              <w:rPr>
                <w:spacing w:val="-6"/>
              </w:rPr>
              <w:t>%)</w:t>
            </w:r>
          </w:p>
        </w:tc>
      </w:tr>
      <w:tr w:rsidR="002B6D8E" w:rsidRPr="00716EDB" w14:paraId="3751A2AD" w14:textId="77777777" w:rsidTr="002B6D8E">
        <w:tc>
          <w:tcPr>
            <w:tcW w:w="5332" w:type="dxa"/>
            <w:tcBorders>
              <w:top w:val="single" w:sz="2" w:space="0" w:color="93B7BB"/>
              <w:left w:val="nil"/>
              <w:bottom w:val="nil"/>
              <w:right w:val="nil"/>
            </w:tcBorders>
          </w:tcPr>
          <w:p w14:paraId="46F616B9" w14:textId="77777777" w:rsidR="002B6D8E" w:rsidRPr="00B2361E" w:rsidRDefault="002B6D8E" w:rsidP="002B6D8E">
            <w:pPr>
              <w:pStyle w:val="Tabletext"/>
              <w:keepNext/>
              <w:keepLines/>
              <w:rPr>
                <w:color w:val="auto"/>
              </w:rPr>
            </w:pPr>
            <w:r w:rsidRPr="00B2361E">
              <w:rPr>
                <w:spacing w:val="-5"/>
                <w:w w:val="110"/>
              </w:rPr>
              <w:t>Gro</w:t>
            </w:r>
            <w:r w:rsidRPr="00B2361E">
              <w:rPr>
                <w:w w:val="110"/>
              </w:rPr>
              <w:t>ss</w:t>
            </w:r>
            <w:r w:rsidRPr="00B2361E">
              <w:rPr>
                <w:spacing w:val="-24"/>
                <w:w w:val="110"/>
              </w:rPr>
              <w:t xml:space="preserve"> </w:t>
            </w:r>
            <w:r w:rsidRPr="00B2361E">
              <w:rPr>
                <w:spacing w:val="-6"/>
                <w:w w:val="110"/>
              </w:rPr>
              <w:t>mar</w:t>
            </w:r>
            <w:r w:rsidRPr="00B2361E">
              <w:rPr>
                <w:spacing w:val="-5"/>
                <w:w w:val="110"/>
              </w:rPr>
              <w:t>gin</w:t>
            </w:r>
          </w:p>
        </w:tc>
        <w:tc>
          <w:tcPr>
            <w:tcW w:w="917" w:type="dxa"/>
            <w:tcBorders>
              <w:top w:val="single" w:sz="2" w:space="0" w:color="93B7BB"/>
              <w:left w:val="nil"/>
              <w:bottom w:val="nil"/>
              <w:right w:val="nil"/>
            </w:tcBorders>
            <w:shd w:val="clear" w:color="auto" w:fill="EFF4F5"/>
            <w:vAlign w:val="bottom"/>
          </w:tcPr>
          <w:p w14:paraId="69D2A187" w14:textId="79748633" w:rsidR="002B6D8E" w:rsidRPr="00E036BE" w:rsidRDefault="00277C7F" w:rsidP="002B6D8E">
            <w:pPr>
              <w:pStyle w:val="Tabletext"/>
              <w:keepNext/>
              <w:keepLines/>
              <w:jc w:val="right"/>
              <w:rPr>
                <w:b/>
                <w:bCs/>
              </w:rPr>
            </w:pPr>
            <w:r>
              <w:rPr>
                <w:b/>
                <w:bCs/>
              </w:rPr>
              <w:t>424.8</w:t>
            </w:r>
          </w:p>
        </w:tc>
        <w:tc>
          <w:tcPr>
            <w:tcW w:w="1123" w:type="dxa"/>
            <w:tcBorders>
              <w:top w:val="single" w:sz="2" w:space="0" w:color="93B7BB"/>
              <w:left w:val="nil"/>
              <w:bottom w:val="nil"/>
              <w:right w:val="nil"/>
            </w:tcBorders>
            <w:vAlign w:val="bottom"/>
          </w:tcPr>
          <w:p w14:paraId="508BAE94" w14:textId="0BE4D0CA" w:rsidR="002B6D8E" w:rsidRPr="00B2361E" w:rsidRDefault="00102023" w:rsidP="00102023">
            <w:pPr>
              <w:pStyle w:val="Tabletext"/>
              <w:keepNext/>
              <w:keepLines/>
              <w:jc w:val="right"/>
              <w:rPr>
                <w:color w:val="auto"/>
              </w:rPr>
            </w:pPr>
            <w:r>
              <w:rPr>
                <w:spacing w:val="-3"/>
              </w:rPr>
              <w:t>419</w:t>
            </w:r>
            <w:r w:rsidR="002B6D8E" w:rsidRPr="00B2361E">
              <w:t>.</w:t>
            </w:r>
            <w:r>
              <w:t>4</w:t>
            </w:r>
          </w:p>
        </w:tc>
        <w:tc>
          <w:tcPr>
            <w:tcW w:w="818" w:type="dxa"/>
            <w:tcBorders>
              <w:top w:val="single" w:sz="2" w:space="0" w:color="93B7BB"/>
              <w:left w:val="nil"/>
              <w:bottom w:val="nil"/>
              <w:right w:val="nil"/>
            </w:tcBorders>
            <w:vAlign w:val="bottom"/>
          </w:tcPr>
          <w:p w14:paraId="19B54B3F" w14:textId="6FCE501B" w:rsidR="002B6D8E" w:rsidRPr="00277C7F" w:rsidRDefault="00277C7F" w:rsidP="00277C7F">
            <w:pPr>
              <w:pStyle w:val="Tabletext"/>
              <w:keepNext/>
              <w:keepLines/>
              <w:jc w:val="right"/>
              <w:rPr>
                <w:color w:val="auto"/>
              </w:rPr>
            </w:pPr>
            <w:r w:rsidRPr="00277C7F">
              <w:rPr>
                <w:bCs/>
                <w:spacing w:val="-1"/>
              </w:rPr>
              <w:t>1</w:t>
            </w:r>
            <w:r w:rsidR="00947E80" w:rsidRPr="00277C7F">
              <w:rPr>
                <w:bCs/>
              </w:rPr>
              <w:t>.</w:t>
            </w:r>
            <w:r w:rsidRPr="00277C7F">
              <w:rPr>
                <w:bCs/>
              </w:rPr>
              <w:t>3</w:t>
            </w:r>
            <w:r w:rsidR="002B6D8E" w:rsidRPr="00277C7F">
              <w:rPr>
                <w:spacing w:val="-5"/>
              </w:rPr>
              <w:t>%</w:t>
            </w:r>
          </w:p>
        </w:tc>
        <w:tc>
          <w:tcPr>
            <w:tcW w:w="882" w:type="dxa"/>
            <w:tcBorders>
              <w:top w:val="single" w:sz="2" w:space="0" w:color="93B7BB"/>
              <w:left w:val="nil"/>
              <w:bottom w:val="nil"/>
              <w:right w:val="nil"/>
            </w:tcBorders>
            <w:vAlign w:val="bottom"/>
          </w:tcPr>
          <w:p w14:paraId="5B145D71" w14:textId="16BF59F2" w:rsidR="002B6D8E" w:rsidRPr="00277C7F" w:rsidRDefault="00277C7F" w:rsidP="00277C7F">
            <w:pPr>
              <w:pStyle w:val="Tabletext"/>
              <w:keepNext/>
              <w:keepLines/>
              <w:jc w:val="right"/>
              <w:rPr>
                <w:color w:val="auto"/>
              </w:rPr>
            </w:pPr>
            <w:r>
              <w:rPr>
                <w:bCs/>
                <w:spacing w:val="-1"/>
              </w:rPr>
              <w:t>0</w:t>
            </w:r>
            <w:r w:rsidR="00947E80" w:rsidRPr="00277C7F">
              <w:rPr>
                <w:bCs/>
              </w:rPr>
              <w:t>.</w:t>
            </w:r>
            <w:r>
              <w:rPr>
                <w:bCs/>
              </w:rPr>
              <w:t>9</w:t>
            </w:r>
            <w:r w:rsidR="002B6D8E" w:rsidRPr="00277C7F">
              <w:rPr>
                <w:spacing w:val="-6"/>
              </w:rPr>
              <w:t>%</w:t>
            </w:r>
          </w:p>
        </w:tc>
      </w:tr>
      <w:tr w:rsidR="002B6D8E" w:rsidRPr="00716EDB" w14:paraId="06F28A0F" w14:textId="77777777" w:rsidTr="002B6D8E">
        <w:tc>
          <w:tcPr>
            <w:tcW w:w="5332" w:type="dxa"/>
            <w:tcBorders>
              <w:top w:val="nil"/>
              <w:left w:val="nil"/>
              <w:bottom w:val="nil"/>
              <w:right w:val="nil"/>
            </w:tcBorders>
          </w:tcPr>
          <w:p w14:paraId="51DA8C88" w14:textId="77777777" w:rsidR="002B6D8E" w:rsidRPr="00B2361E" w:rsidRDefault="002B6D8E" w:rsidP="002B6D8E">
            <w:pPr>
              <w:pStyle w:val="Tabletext"/>
              <w:keepNext/>
              <w:keepLines/>
              <w:rPr>
                <w:color w:val="auto"/>
              </w:rPr>
            </w:pPr>
            <w:r w:rsidRPr="00B2361E">
              <w:rPr>
                <w:spacing w:val="-3"/>
              </w:rPr>
              <w:t>Oth</w:t>
            </w:r>
            <w:r w:rsidRPr="00B2361E">
              <w:t>er</w:t>
            </w:r>
            <w:r w:rsidRPr="00B2361E">
              <w:rPr>
                <w:spacing w:val="2"/>
              </w:rPr>
              <w:t xml:space="preserve"> </w:t>
            </w:r>
            <w:r w:rsidRPr="00B2361E">
              <w:rPr>
                <w:spacing w:val="-5"/>
              </w:rPr>
              <w:t>o</w:t>
            </w:r>
            <w:r w:rsidRPr="00B2361E">
              <w:t>p</w:t>
            </w:r>
            <w:r w:rsidRPr="00B2361E">
              <w:rPr>
                <w:spacing w:val="-5"/>
              </w:rPr>
              <w:t>er</w:t>
            </w:r>
            <w:r w:rsidRPr="00B2361E">
              <w:t>ating</w:t>
            </w:r>
            <w:r w:rsidRPr="00B2361E">
              <w:rPr>
                <w:spacing w:val="2"/>
              </w:rPr>
              <w:t xml:space="preserve"> </w:t>
            </w:r>
            <w:r w:rsidRPr="00B2361E">
              <w:t>c</w:t>
            </w:r>
            <w:r w:rsidRPr="00B2361E">
              <w:rPr>
                <w:spacing w:val="-3"/>
              </w:rPr>
              <w:t>o</w:t>
            </w:r>
            <w:r w:rsidRPr="00B2361E">
              <w:t>sts</w:t>
            </w:r>
          </w:p>
        </w:tc>
        <w:tc>
          <w:tcPr>
            <w:tcW w:w="917" w:type="dxa"/>
            <w:tcBorders>
              <w:top w:val="nil"/>
              <w:left w:val="nil"/>
              <w:bottom w:val="nil"/>
              <w:right w:val="nil"/>
            </w:tcBorders>
            <w:shd w:val="clear" w:color="auto" w:fill="EFF4F5"/>
            <w:vAlign w:val="bottom"/>
          </w:tcPr>
          <w:p w14:paraId="484E1466" w14:textId="474AF7F8" w:rsidR="002B6D8E" w:rsidRPr="004E69C9" w:rsidRDefault="00277C7F" w:rsidP="002B6D8E">
            <w:pPr>
              <w:pStyle w:val="Tabletext"/>
              <w:keepNext/>
              <w:keepLines/>
              <w:jc w:val="right"/>
              <w:rPr>
                <w:b/>
                <w:bCs/>
              </w:rPr>
            </w:pPr>
            <w:r>
              <w:rPr>
                <w:b/>
                <w:bCs/>
              </w:rPr>
              <w:t>(329.3)</w:t>
            </w:r>
          </w:p>
        </w:tc>
        <w:tc>
          <w:tcPr>
            <w:tcW w:w="1123" w:type="dxa"/>
            <w:tcBorders>
              <w:top w:val="nil"/>
              <w:left w:val="nil"/>
              <w:bottom w:val="nil"/>
              <w:right w:val="nil"/>
            </w:tcBorders>
            <w:vAlign w:val="bottom"/>
          </w:tcPr>
          <w:p w14:paraId="76716278" w14:textId="7DB9E5D9" w:rsidR="002B6D8E" w:rsidRPr="00B2361E" w:rsidRDefault="002B6D8E" w:rsidP="00102023">
            <w:pPr>
              <w:pStyle w:val="Tabletext"/>
              <w:keepNext/>
              <w:keepLines/>
              <w:jc w:val="right"/>
              <w:rPr>
                <w:color w:val="auto"/>
              </w:rPr>
            </w:pPr>
            <w:r w:rsidRPr="00B2361E">
              <w:rPr>
                <w:spacing w:val="-5"/>
              </w:rPr>
              <w:t>(</w:t>
            </w:r>
            <w:r w:rsidR="00102023">
              <w:t>359</w:t>
            </w:r>
            <w:r w:rsidRPr="00B2361E">
              <w:rPr>
                <w:spacing w:val="-6"/>
              </w:rPr>
              <w:t>.</w:t>
            </w:r>
            <w:r w:rsidR="00102023">
              <w:t>3</w:t>
            </w:r>
            <w:r w:rsidRPr="00B2361E">
              <w:t>)</w:t>
            </w:r>
          </w:p>
        </w:tc>
        <w:tc>
          <w:tcPr>
            <w:tcW w:w="818" w:type="dxa"/>
            <w:tcBorders>
              <w:top w:val="nil"/>
              <w:left w:val="nil"/>
              <w:bottom w:val="nil"/>
              <w:right w:val="nil"/>
            </w:tcBorders>
            <w:vAlign w:val="bottom"/>
          </w:tcPr>
          <w:p w14:paraId="76DB987E" w14:textId="62874629" w:rsidR="002B6D8E" w:rsidRPr="00277C7F" w:rsidRDefault="00277C7F" w:rsidP="00277C7F">
            <w:pPr>
              <w:pStyle w:val="Tabletext"/>
              <w:keepNext/>
              <w:keepLines/>
              <w:jc w:val="right"/>
              <w:rPr>
                <w:color w:val="auto"/>
              </w:rPr>
            </w:pPr>
            <w:r>
              <w:rPr>
                <w:bCs/>
                <w:spacing w:val="-1"/>
              </w:rPr>
              <w:t>8</w:t>
            </w:r>
            <w:r w:rsidR="00947E80" w:rsidRPr="00277C7F">
              <w:rPr>
                <w:bCs/>
              </w:rPr>
              <w:t>.</w:t>
            </w:r>
            <w:r>
              <w:rPr>
                <w:bCs/>
              </w:rPr>
              <w:t>3</w:t>
            </w:r>
            <w:r w:rsidR="002B6D8E" w:rsidRPr="00277C7F">
              <w:rPr>
                <w:spacing w:val="-5"/>
              </w:rPr>
              <w:t>%</w:t>
            </w:r>
          </w:p>
        </w:tc>
        <w:tc>
          <w:tcPr>
            <w:tcW w:w="882" w:type="dxa"/>
            <w:tcBorders>
              <w:top w:val="nil"/>
              <w:left w:val="nil"/>
              <w:bottom w:val="nil"/>
              <w:right w:val="nil"/>
            </w:tcBorders>
            <w:vAlign w:val="bottom"/>
          </w:tcPr>
          <w:p w14:paraId="61760033" w14:textId="1A216603" w:rsidR="002B6D8E" w:rsidRPr="00277C7F" w:rsidRDefault="00277C7F" w:rsidP="00277C7F">
            <w:pPr>
              <w:pStyle w:val="Tabletext"/>
              <w:keepNext/>
              <w:keepLines/>
              <w:jc w:val="right"/>
              <w:rPr>
                <w:color w:val="auto"/>
              </w:rPr>
            </w:pPr>
            <w:r>
              <w:rPr>
                <w:bCs/>
                <w:spacing w:val="-1"/>
              </w:rPr>
              <w:t>8</w:t>
            </w:r>
            <w:r w:rsidR="00947E80" w:rsidRPr="00277C7F">
              <w:rPr>
                <w:bCs/>
              </w:rPr>
              <w:t>.</w:t>
            </w:r>
            <w:r>
              <w:rPr>
                <w:bCs/>
              </w:rPr>
              <w:t>2</w:t>
            </w:r>
            <w:r w:rsidR="002B6D8E" w:rsidRPr="00277C7F">
              <w:rPr>
                <w:spacing w:val="-5"/>
              </w:rPr>
              <w:t>%</w:t>
            </w:r>
          </w:p>
        </w:tc>
      </w:tr>
      <w:tr w:rsidR="002B6D8E" w:rsidRPr="00716EDB" w14:paraId="6FABB763" w14:textId="77777777" w:rsidTr="002B6D8E">
        <w:tc>
          <w:tcPr>
            <w:tcW w:w="5332" w:type="dxa"/>
            <w:tcBorders>
              <w:top w:val="nil"/>
              <w:left w:val="nil"/>
              <w:bottom w:val="single" w:sz="4" w:space="0" w:color="93B7BB"/>
              <w:right w:val="nil"/>
            </w:tcBorders>
          </w:tcPr>
          <w:p w14:paraId="21A719A6" w14:textId="77777777" w:rsidR="002B6D8E" w:rsidRPr="00B2361E" w:rsidRDefault="002B6D8E" w:rsidP="002B6D8E">
            <w:pPr>
              <w:pStyle w:val="Tabletext"/>
              <w:keepNext/>
              <w:keepLines/>
              <w:rPr>
                <w:b/>
                <w:bCs/>
                <w:color w:val="auto"/>
              </w:rPr>
            </w:pPr>
            <w:r w:rsidRPr="00B2361E">
              <w:rPr>
                <w:b/>
                <w:bCs/>
              </w:rPr>
              <w:t>O</w:t>
            </w:r>
            <w:r w:rsidRPr="00B2361E">
              <w:rPr>
                <w:b/>
                <w:bCs/>
                <w:spacing w:val="-3"/>
              </w:rPr>
              <w:t>p</w:t>
            </w:r>
            <w:r w:rsidRPr="00B2361E">
              <w:rPr>
                <w:b/>
                <w:bCs/>
              </w:rPr>
              <w:t>er</w:t>
            </w:r>
            <w:r w:rsidRPr="00B2361E">
              <w:rPr>
                <w:b/>
                <w:bCs/>
                <w:spacing w:val="-3"/>
              </w:rPr>
              <w:t>ating</w:t>
            </w:r>
            <w:r w:rsidRPr="00B2361E">
              <w:rPr>
                <w:b/>
                <w:bCs/>
                <w:spacing w:val="-8"/>
              </w:rPr>
              <w:t xml:space="preserve"> </w:t>
            </w:r>
            <w:r w:rsidRPr="00B2361E">
              <w:rPr>
                <w:b/>
                <w:bCs/>
              </w:rPr>
              <w:t>p</w:t>
            </w:r>
            <w:r w:rsidRPr="00B2361E">
              <w:rPr>
                <w:b/>
                <w:bCs/>
                <w:spacing w:val="-3"/>
              </w:rPr>
              <w:t>ro</w:t>
            </w:r>
            <w:r w:rsidRPr="00B2361E">
              <w:rPr>
                <w:b/>
                <w:bCs/>
              </w:rPr>
              <w:t>fit</w:t>
            </w:r>
          </w:p>
        </w:tc>
        <w:tc>
          <w:tcPr>
            <w:tcW w:w="917" w:type="dxa"/>
            <w:tcBorders>
              <w:top w:val="nil"/>
              <w:left w:val="nil"/>
              <w:bottom w:val="single" w:sz="4" w:space="0" w:color="93B7BB"/>
              <w:right w:val="nil"/>
            </w:tcBorders>
            <w:shd w:val="clear" w:color="auto" w:fill="EFF4F5"/>
            <w:vAlign w:val="bottom"/>
          </w:tcPr>
          <w:p w14:paraId="228FB1A0" w14:textId="2217AF33" w:rsidR="002B6D8E" w:rsidRPr="004E69C9" w:rsidRDefault="00277C7F" w:rsidP="002B6D8E">
            <w:pPr>
              <w:pStyle w:val="Tabletext"/>
              <w:keepNext/>
              <w:keepLines/>
              <w:jc w:val="right"/>
              <w:rPr>
                <w:b/>
                <w:bCs/>
              </w:rPr>
            </w:pPr>
            <w:r>
              <w:rPr>
                <w:b/>
                <w:bCs/>
              </w:rPr>
              <w:t>95.5</w:t>
            </w:r>
          </w:p>
        </w:tc>
        <w:tc>
          <w:tcPr>
            <w:tcW w:w="1123" w:type="dxa"/>
            <w:tcBorders>
              <w:top w:val="nil"/>
              <w:left w:val="nil"/>
              <w:bottom w:val="single" w:sz="4" w:space="0" w:color="93B7BB"/>
              <w:right w:val="nil"/>
            </w:tcBorders>
            <w:vAlign w:val="bottom"/>
          </w:tcPr>
          <w:p w14:paraId="7D9E0310" w14:textId="34C8E764" w:rsidR="002B6D8E" w:rsidRPr="00B2361E" w:rsidRDefault="002B6D8E" w:rsidP="00102023">
            <w:pPr>
              <w:pStyle w:val="Tabletext"/>
              <w:keepNext/>
              <w:keepLines/>
              <w:jc w:val="right"/>
              <w:rPr>
                <w:b/>
                <w:bCs/>
                <w:color w:val="auto"/>
              </w:rPr>
            </w:pPr>
            <w:r>
              <w:rPr>
                <w:b/>
                <w:bCs/>
              </w:rPr>
              <w:t>6</w:t>
            </w:r>
            <w:r w:rsidR="00102023">
              <w:rPr>
                <w:b/>
                <w:bCs/>
              </w:rPr>
              <w:t>0</w:t>
            </w:r>
            <w:r w:rsidRPr="00B2361E">
              <w:rPr>
                <w:b/>
                <w:bCs/>
              </w:rPr>
              <w:t>.</w:t>
            </w:r>
            <w:r w:rsidR="00102023">
              <w:rPr>
                <w:b/>
                <w:bCs/>
              </w:rPr>
              <w:t>1</w:t>
            </w:r>
          </w:p>
        </w:tc>
        <w:tc>
          <w:tcPr>
            <w:tcW w:w="818" w:type="dxa"/>
            <w:tcBorders>
              <w:top w:val="nil"/>
              <w:left w:val="nil"/>
              <w:bottom w:val="single" w:sz="4" w:space="0" w:color="93B7BB"/>
              <w:right w:val="nil"/>
            </w:tcBorders>
            <w:vAlign w:val="bottom"/>
          </w:tcPr>
          <w:p w14:paraId="31E88901" w14:textId="3C867253" w:rsidR="002B6D8E" w:rsidRPr="00277C7F" w:rsidRDefault="00277C7F" w:rsidP="00277C7F">
            <w:pPr>
              <w:pStyle w:val="Tabletext"/>
              <w:keepNext/>
              <w:keepLines/>
              <w:jc w:val="right"/>
              <w:rPr>
                <w:b/>
                <w:bCs/>
                <w:color w:val="auto"/>
              </w:rPr>
            </w:pPr>
            <w:r>
              <w:rPr>
                <w:b/>
                <w:bCs/>
                <w:spacing w:val="-1"/>
              </w:rPr>
              <w:t>58</w:t>
            </w:r>
            <w:r w:rsidR="00510194" w:rsidRPr="00277C7F">
              <w:rPr>
                <w:b/>
                <w:bCs/>
              </w:rPr>
              <w:t>.</w:t>
            </w:r>
            <w:r>
              <w:rPr>
                <w:b/>
                <w:bCs/>
              </w:rPr>
              <w:t>9</w:t>
            </w:r>
            <w:r w:rsidR="002B6D8E" w:rsidRPr="00277C7F">
              <w:rPr>
                <w:b/>
                <w:bCs/>
                <w:spacing w:val="-5"/>
              </w:rPr>
              <w:t>%</w:t>
            </w:r>
          </w:p>
        </w:tc>
        <w:tc>
          <w:tcPr>
            <w:tcW w:w="882" w:type="dxa"/>
            <w:tcBorders>
              <w:top w:val="nil"/>
              <w:left w:val="nil"/>
              <w:bottom w:val="single" w:sz="4" w:space="0" w:color="93B7BB"/>
              <w:right w:val="nil"/>
            </w:tcBorders>
            <w:vAlign w:val="bottom"/>
          </w:tcPr>
          <w:p w14:paraId="40DCBF82" w14:textId="4036E4E1" w:rsidR="002B6D8E" w:rsidRPr="00277C7F" w:rsidRDefault="00277C7F" w:rsidP="00277C7F">
            <w:pPr>
              <w:pStyle w:val="Tabletext"/>
              <w:keepNext/>
              <w:keepLines/>
              <w:jc w:val="right"/>
              <w:rPr>
                <w:b/>
                <w:bCs/>
                <w:color w:val="auto"/>
              </w:rPr>
            </w:pPr>
            <w:r>
              <w:rPr>
                <w:b/>
                <w:bCs/>
                <w:spacing w:val="-1"/>
              </w:rPr>
              <w:t>53</w:t>
            </w:r>
            <w:r w:rsidR="00510194" w:rsidRPr="00277C7F">
              <w:rPr>
                <w:b/>
                <w:bCs/>
              </w:rPr>
              <w:t>.</w:t>
            </w:r>
            <w:r>
              <w:rPr>
                <w:b/>
                <w:bCs/>
              </w:rPr>
              <w:t>9</w:t>
            </w:r>
            <w:r w:rsidR="002B6D8E" w:rsidRPr="00277C7F">
              <w:rPr>
                <w:b/>
                <w:bCs/>
                <w:spacing w:val="-3"/>
              </w:rPr>
              <w:t>%</w:t>
            </w:r>
          </w:p>
        </w:tc>
      </w:tr>
      <w:tr w:rsidR="002B6D8E" w:rsidRPr="00716EDB" w14:paraId="78E0E7E2" w14:textId="77777777" w:rsidTr="002B6D8E">
        <w:tc>
          <w:tcPr>
            <w:tcW w:w="5332" w:type="dxa"/>
            <w:tcBorders>
              <w:top w:val="single" w:sz="4" w:space="0" w:color="93B7BB"/>
              <w:left w:val="single" w:sz="4" w:space="0" w:color="93B7BB"/>
              <w:bottom w:val="nil"/>
              <w:right w:val="nil"/>
            </w:tcBorders>
          </w:tcPr>
          <w:p w14:paraId="29A75703" w14:textId="77777777" w:rsidR="002B6D8E" w:rsidRPr="00B2361E" w:rsidRDefault="002B6D8E" w:rsidP="002B6D8E">
            <w:pPr>
              <w:pStyle w:val="Tabletext"/>
              <w:keepNext/>
              <w:keepLines/>
              <w:rPr>
                <w:color w:val="auto"/>
              </w:rPr>
            </w:pPr>
            <w:r w:rsidRPr="00B2361E">
              <w:rPr>
                <w:spacing w:val="-5"/>
              </w:rPr>
              <w:t>E</w:t>
            </w:r>
            <w:r w:rsidRPr="00B2361E">
              <w:t>x</w:t>
            </w:r>
            <w:r w:rsidRPr="00B2361E">
              <w:rPr>
                <w:spacing w:val="-5"/>
              </w:rPr>
              <w:t>ce</w:t>
            </w:r>
            <w:r w:rsidRPr="00B2361E">
              <w:t>ptional</w:t>
            </w:r>
            <w:r w:rsidRPr="00B2361E">
              <w:rPr>
                <w:spacing w:val="4"/>
              </w:rPr>
              <w:t xml:space="preserve"> </w:t>
            </w:r>
            <w:r w:rsidRPr="00B2361E">
              <w:t>it</w:t>
            </w:r>
            <w:r w:rsidRPr="00B2361E">
              <w:rPr>
                <w:spacing w:val="-5"/>
              </w:rPr>
              <w:t>e</w:t>
            </w:r>
            <w:r w:rsidRPr="00B2361E">
              <w:t>ms</w:t>
            </w:r>
            <w:r w:rsidRPr="00B2361E">
              <w:rPr>
                <w:spacing w:val="5"/>
              </w:rPr>
              <w:t xml:space="preserve"> </w:t>
            </w:r>
            <w:r w:rsidRPr="00B2361E">
              <w:t>in</w:t>
            </w:r>
            <w:r w:rsidRPr="00B2361E">
              <w:rPr>
                <w:spacing w:val="-5"/>
              </w:rPr>
              <w:t>c</w:t>
            </w:r>
            <w:r w:rsidRPr="00B2361E">
              <w:t>lud</w:t>
            </w:r>
            <w:r w:rsidRPr="00B2361E">
              <w:rPr>
                <w:spacing w:val="-5"/>
              </w:rPr>
              <w:t>e</w:t>
            </w:r>
            <w:r w:rsidRPr="00B2361E">
              <w:t>d</w:t>
            </w:r>
            <w:r w:rsidRPr="00B2361E">
              <w:rPr>
                <w:spacing w:val="4"/>
              </w:rPr>
              <w:t xml:space="preserve"> </w:t>
            </w:r>
            <w:r w:rsidRPr="00B2361E">
              <w:t>within</w:t>
            </w:r>
            <w:r w:rsidRPr="00B2361E">
              <w:rPr>
                <w:spacing w:val="5"/>
              </w:rPr>
              <w:t xml:space="preserve"> </w:t>
            </w:r>
            <w:r w:rsidRPr="00B2361E">
              <w:rPr>
                <w:spacing w:val="-5"/>
              </w:rPr>
              <w:t>o</w:t>
            </w:r>
            <w:r w:rsidRPr="00B2361E">
              <w:t>th</w:t>
            </w:r>
            <w:r w:rsidRPr="00B2361E">
              <w:rPr>
                <w:spacing w:val="-5"/>
              </w:rPr>
              <w:t>er</w:t>
            </w:r>
            <w:r w:rsidRPr="00B2361E">
              <w:rPr>
                <w:spacing w:val="4"/>
              </w:rPr>
              <w:t xml:space="preserve"> </w:t>
            </w:r>
            <w:r w:rsidRPr="00B2361E">
              <w:rPr>
                <w:spacing w:val="-5"/>
              </w:rPr>
              <w:t>o</w:t>
            </w:r>
            <w:r w:rsidRPr="00B2361E">
              <w:t>p</w:t>
            </w:r>
            <w:r w:rsidRPr="00B2361E">
              <w:rPr>
                <w:spacing w:val="-5"/>
              </w:rPr>
              <w:t>er</w:t>
            </w:r>
            <w:r w:rsidRPr="00B2361E">
              <w:t>ating</w:t>
            </w:r>
            <w:r w:rsidRPr="00B2361E">
              <w:rPr>
                <w:spacing w:val="5"/>
              </w:rPr>
              <w:t xml:space="preserve"> </w:t>
            </w:r>
            <w:r w:rsidRPr="00B2361E">
              <w:t>c</w:t>
            </w:r>
            <w:r w:rsidRPr="00B2361E">
              <w:rPr>
                <w:spacing w:val="-3"/>
              </w:rPr>
              <w:t>o</w:t>
            </w:r>
            <w:r w:rsidRPr="00B2361E">
              <w:t>sts</w:t>
            </w:r>
          </w:p>
        </w:tc>
        <w:tc>
          <w:tcPr>
            <w:tcW w:w="917" w:type="dxa"/>
            <w:tcBorders>
              <w:top w:val="single" w:sz="4" w:space="0" w:color="93B7BB"/>
              <w:left w:val="nil"/>
              <w:bottom w:val="nil"/>
              <w:right w:val="nil"/>
            </w:tcBorders>
            <w:shd w:val="clear" w:color="auto" w:fill="EFF4F5"/>
            <w:vAlign w:val="bottom"/>
          </w:tcPr>
          <w:p w14:paraId="13C1E649" w14:textId="06994F7D" w:rsidR="002B6D8E" w:rsidRPr="004E69C9" w:rsidRDefault="00277C7F" w:rsidP="002B6D8E">
            <w:pPr>
              <w:pStyle w:val="Tabletext"/>
              <w:keepNext/>
              <w:keepLines/>
              <w:jc w:val="right"/>
              <w:rPr>
                <w:b/>
                <w:bCs/>
              </w:rPr>
            </w:pPr>
            <w:r>
              <w:rPr>
                <w:b/>
                <w:bCs/>
              </w:rPr>
              <w:t>(15.7)</w:t>
            </w:r>
          </w:p>
        </w:tc>
        <w:tc>
          <w:tcPr>
            <w:tcW w:w="1123" w:type="dxa"/>
            <w:tcBorders>
              <w:top w:val="single" w:sz="4" w:space="0" w:color="93B7BB"/>
              <w:left w:val="nil"/>
              <w:bottom w:val="nil"/>
              <w:right w:val="nil"/>
            </w:tcBorders>
            <w:vAlign w:val="bottom"/>
          </w:tcPr>
          <w:p w14:paraId="10AC29FB" w14:textId="475016FD" w:rsidR="002B6D8E" w:rsidRPr="00B2361E" w:rsidRDefault="002B6D8E" w:rsidP="00102023">
            <w:pPr>
              <w:pStyle w:val="Tabletext"/>
              <w:keepNext/>
              <w:keepLines/>
              <w:jc w:val="right"/>
              <w:rPr>
                <w:color w:val="auto"/>
              </w:rPr>
            </w:pPr>
            <w:r w:rsidRPr="00B2361E">
              <w:rPr>
                <w:spacing w:val="-5"/>
              </w:rPr>
              <w:t>(</w:t>
            </w:r>
            <w:r w:rsidR="00102023">
              <w:t>54</w:t>
            </w:r>
            <w:r w:rsidRPr="00B2361E">
              <w:rPr>
                <w:spacing w:val="-5"/>
              </w:rPr>
              <w:t>.</w:t>
            </w:r>
            <w:r w:rsidR="00102023">
              <w:rPr>
                <w:spacing w:val="-5"/>
              </w:rPr>
              <w:t>0</w:t>
            </w:r>
            <w:r w:rsidRPr="00B2361E">
              <w:rPr>
                <w:spacing w:val="-5"/>
              </w:rPr>
              <w:t>)</w:t>
            </w:r>
          </w:p>
        </w:tc>
        <w:tc>
          <w:tcPr>
            <w:tcW w:w="818" w:type="dxa"/>
            <w:tcBorders>
              <w:top w:val="single" w:sz="4" w:space="0" w:color="93B7BB"/>
              <w:left w:val="nil"/>
              <w:bottom w:val="nil"/>
              <w:right w:val="nil"/>
            </w:tcBorders>
            <w:vAlign w:val="bottom"/>
          </w:tcPr>
          <w:p w14:paraId="37D34326" w14:textId="77777777" w:rsidR="002B6D8E" w:rsidRPr="00B2361E" w:rsidRDefault="002B6D8E" w:rsidP="002B6D8E">
            <w:pPr>
              <w:pStyle w:val="Tabletext"/>
              <w:keepNext/>
              <w:keepLines/>
              <w:jc w:val="right"/>
              <w:rPr>
                <w:color w:val="auto"/>
              </w:rPr>
            </w:pPr>
          </w:p>
        </w:tc>
        <w:tc>
          <w:tcPr>
            <w:tcW w:w="882" w:type="dxa"/>
            <w:tcBorders>
              <w:top w:val="single" w:sz="4" w:space="0" w:color="93B7BB"/>
              <w:left w:val="nil"/>
              <w:bottom w:val="nil"/>
              <w:right w:val="single" w:sz="4" w:space="0" w:color="93B7BB"/>
            </w:tcBorders>
            <w:vAlign w:val="bottom"/>
          </w:tcPr>
          <w:p w14:paraId="3EC3CECA" w14:textId="77777777" w:rsidR="002B6D8E" w:rsidRPr="005E217C" w:rsidRDefault="002B6D8E" w:rsidP="002B6D8E">
            <w:pPr>
              <w:pStyle w:val="Tabletext"/>
              <w:keepNext/>
              <w:keepLines/>
              <w:jc w:val="right"/>
              <w:rPr>
                <w:color w:val="auto"/>
                <w:highlight w:val="yellow"/>
              </w:rPr>
            </w:pPr>
          </w:p>
        </w:tc>
      </w:tr>
      <w:tr w:rsidR="002B6D8E" w:rsidRPr="00716EDB" w14:paraId="7F3B8F30" w14:textId="77777777" w:rsidTr="002B6D8E">
        <w:tc>
          <w:tcPr>
            <w:tcW w:w="5332" w:type="dxa"/>
            <w:tcBorders>
              <w:top w:val="nil"/>
              <w:left w:val="single" w:sz="4" w:space="0" w:color="93B7BB"/>
              <w:bottom w:val="single" w:sz="4" w:space="0" w:color="93B7BB"/>
              <w:right w:val="nil"/>
            </w:tcBorders>
          </w:tcPr>
          <w:p w14:paraId="672CB466" w14:textId="77777777" w:rsidR="002B6D8E" w:rsidRPr="00B2361E" w:rsidRDefault="002B6D8E" w:rsidP="002B6D8E">
            <w:pPr>
              <w:pStyle w:val="Tabletext"/>
              <w:keepNext/>
              <w:keepLines/>
              <w:rPr>
                <w:b/>
                <w:bCs/>
                <w:color w:val="auto"/>
              </w:rPr>
            </w:pPr>
            <w:r w:rsidRPr="00B2361E">
              <w:rPr>
                <w:b/>
                <w:bCs/>
              </w:rPr>
              <w:t>O</w:t>
            </w:r>
            <w:r w:rsidRPr="00B2361E">
              <w:rPr>
                <w:b/>
                <w:bCs/>
                <w:spacing w:val="-3"/>
              </w:rPr>
              <w:t>p</w:t>
            </w:r>
            <w:r w:rsidRPr="00B2361E">
              <w:rPr>
                <w:b/>
                <w:bCs/>
              </w:rPr>
              <w:t>er</w:t>
            </w:r>
            <w:r w:rsidRPr="00B2361E">
              <w:rPr>
                <w:b/>
                <w:bCs/>
                <w:spacing w:val="-3"/>
              </w:rPr>
              <w:t>ating</w:t>
            </w:r>
            <w:r w:rsidRPr="00B2361E">
              <w:rPr>
                <w:b/>
                <w:bCs/>
                <w:spacing w:val="-9"/>
              </w:rPr>
              <w:t xml:space="preserve"> </w:t>
            </w:r>
            <w:r w:rsidRPr="00B2361E">
              <w:rPr>
                <w:b/>
                <w:bCs/>
              </w:rPr>
              <w:t>p</w:t>
            </w:r>
            <w:r w:rsidRPr="00B2361E">
              <w:rPr>
                <w:b/>
                <w:bCs/>
                <w:spacing w:val="-3"/>
              </w:rPr>
              <w:t>ro</w:t>
            </w:r>
            <w:r w:rsidRPr="00B2361E">
              <w:rPr>
                <w:b/>
                <w:bCs/>
              </w:rPr>
              <w:t>fit</w:t>
            </w:r>
            <w:r w:rsidRPr="00B2361E">
              <w:rPr>
                <w:b/>
                <w:bCs/>
                <w:spacing w:val="-9"/>
              </w:rPr>
              <w:t xml:space="preserve"> </w:t>
            </w:r>
            <w:r w:rsidRPr="00B2361E">
              <w:rPr>
                <w:b/>
                <w:bCs/>
              </w:rPr>
              <w:t>b</w:t>
            </w:r>
            <w:r w:rsidRPr="00B2361E">
              <w:rPr>
                <w:b/>
                <w:bCs/>
                <w:spacing w:val="-3"/>
              </w:rPr>
              <w:t>e</w:t>
            </w:r>
            <w:r w:rsidRPr="00B2361E">
              <w:rPr>
                <w:b/>
                <w:bCs/>
              </w:rPr>
              <w:t>f</w:t>
            </w:r>
            <w:r w:rsidRPr="00B2361E">
              <w:rPr>
                <w:b/>
                <w:bCs/>
                <w:spacing w:val="-3"/>
              </w:rPr>
              <w:t>ore</w:t>
            </w:r>
            <w:r w:rsidRPr="00B2361E">
              <w:rPr>
                <w:b/>
                <w:bCs/>
                <w:spacing w:val="-10"/>
              </w:rPr>
              <w:t xml:space="preserve"> </w:t>
            </w:r>
            <w:r w:rsidRPr="00B2361E">
              <w:rPr>
                <w:b/>
                <w:bCs/>
              </w:rPr>
              <w:t>e</w:t>
            </w:r>
            <w:r w:rsidRPr="00B2361E">
              <w:rPr>
                <w:b/>
                <w:bCs/>
                <w:spacing w:val="-3"/>
              </w:rPr>
              <w:t>x</w:t>
            </w:r>
            <w:r w:rsidRPr="00B2361E">
              <w:rPr>
                <w:b/>
                <w:bCs/>
              </w:rPr>
              <w:t>ce</w:t>
            </w:r>
            <w:r w:rsidRPr="00B2361E">
              <w:rPr>
                <w:b/>
                <w:bCs/>
                <w:spacing w:val="-3"/>
              </w:rPr>
              <w:t>pti</w:t>
            </w:r>
            <w:r w:rsidRPr="00B2361E">
              <w:rPr>
                <w:b/>
                <w:bCs/>
              </w:rPr>
              <w:t>o</w:t>
            </w:r>
            <w:r w:rsidRPr="00B2361E">
              <w:rPr>
                <w:b/>
                <w:bCs/>
                <w:spacing w:val="-3"/>
              </w:rPr>
              <w:t>nal</w:t>
            </w:r>
            <w:r w:rsidRPr="00B2361E">
              <w:rPr>
                <w:b/>
                <w:bCs/>
                <w:spacing w:val="-9"/>
              </w:rPr>
              <w:t xml:space="preserve"> </w:t>
            </w:r>
            <w:r w:rsidRPr="00B2361E">
              <w:rPr>
                <w:b/>
                <w:bCs/>
                <w:spacing w:val="-3"/>
              </w:rPr>
              <w:t>it</w:t>
            </w:r>
            <w:r w:rsidRPr="00B2361E">
              <w:rPr>
                <w:b/>
                <w:bCs/>
              </w:rPr>
              <w:t>e</w:t>
            </w:r>
            <w:r w:rsidRPr="00B2361E">
              <w:rPr>
                <w:b/>
                <w:bCs/>
                <w:spacing w:val="-3"/>
              </w:rPr>
              <w:t>ms</w:t>
            </w:r>
          </w:p>
        </w:tc>
        <w:tc>
          <w:tcPr>
            <w:tcW w:w="917" w:type="dxa"/>
            <w:tcBorders>
              <w:top w:val="nil"/>
              <w:left w:val="nil"/>
              <w:bottom w:val="single" w:sz="4" w:space="0" w:color="93B7BB"/>
              <w:right w:val="nil"/>
            </w:tcBorders>
            <w:shd w:val="clear" w:color="auto" w:fill="EFF4F5"/>
            <w:vAlign w:val="bottom"/>
          </w:tcPr>
          <w:p w14:paraId="39118B17" w14:textId="428B21E3" w:rsidR="002B6D8E" w:rsidRPr="00285A3F" w:rsidRDefault="00277C7F" w:rsidP="002B6D8E">
            <w:pPr>
              <w:pStyle w:val="Tabletext"/>
              <w:keepNext/>
              <w:keepLines/>
              <w:jc w:val="right"/>
              <w:rPr>
                <w:b/>
                <w:bCs/>
              </w:rPr>
            </w:pPr>
            <w:r>
              <w:rPr>
                <w:b/>
                <w:bCs/>
              </w:rPr>
              <w:t>111.2</w:t>
            </w:r>
          </w:p>
        </w:tc>
        <w:tc>
          <w:tcPr>
            <w:tcW w:w="1123" w:type="dxa"/>
            <w:tcBorders>
              <w:top w:val="nil"/>
              <w:left w:val="nil"/>
              <w:bottom w:val="single" w:sz="4" w:space="0" w:color="93B7BB"/>
              <w:right w:val="nil"/>
            </w:tcBorders>
            <w:vAlign w:val="bottom"/>
          </w:tcPr>
          <w:p w14:paraId="7111C99E" w14:textId="3B0FB062" w:rsidR="002B6D8E" w:rsidRPr="00A26862" w:rsidRDefault="00102023" w:rsidP="00102023">
            <w:pPr>
              <w:pStyle w:val="Tabletext"/>
              <w:keepNext/>
              <w:keepLines/>
              <w:jc w:val="right"/>
              <w:rPr>
                <w:b/>
                <w:bCs/>
                <w:color w:val="auto"/>
              </w:rPr>
            </w:pPr>
            <w:r>
              <w:rPr>
                <w:b/>
                <w:bCs/>
                <w:spacing w:val="-1"/>
              </w:rPr>
              <w:t>114</w:t>
            </w:r>
            <w:r w:rsidR="002B6D8E" w:rsidRPr="00A26862">
              <w:rPr>
                <w:b/>
                <w:bCs/>
              </w:rPr>
              <w:t>.</w:t>
            </w:r>
            <w:r>
              <w:rPr>
                <w:b/>
                <w:bCs/>
              </w:rPr>
              <w:t>1</w:t>
            </w:r>
          </w:p>
        </w:tc>
        <w:tc>
          <w:tcPr>
            <w:tcW w:w="818" w:type="dxa"/>
            <w:tcBorders>
              <w:top w:val="nil"/>
              <w:left w:val="nil"/>
              <w:bottom w:val="single" w:sz="4" w:space="0" w:color="93B7BB"/>
              <w:right w:val="nil"/>
            </w:tcBorders>
            <w:vAlign w:val="bottom"/>
          </w:tcPr>
          <w:p w14:paraId="5270B18D" w14:textId="361D9D6D" w:rsidR="002B6D8E" w:rsidRPr="00277C7F" w:rsidRDefault="00277C7F" w:rsidP="00277C7F">
            <w:pPr>
              <w:pStyle w:val="Tabletext"/>
              <w:keepNext/>
              <w:keepLines/>
              <w:jc w:val="right"/>
              <w:rPr>
                <w:b/>
                <w:bCs/>
                <w:color w:val="auto"/>
              </w:rPr>
            </w:pPr>
            <w:r>
              <w:rPr>
                <w:b/>
                <w:bCs/>
                <w:spacing w:val="-1"/>
              </w:rPr>
              <w:t>(</w:t>
            </w:r>
            <w:r w:rsidRPr="00277C7F">
              <w:rPr>
                <w:b/>
                <w:bCs/>
                <w:spacing w:val="-1"/>
              </w:rPr>
              <w:t>2</w:t>
            </w:r>
            <w:r w:rsidR="00497D4E" w:rsidRPr="00277C7F">
              <w:rPr>
                <w:b/>
                <w:bCs/>
              </w:rPr>
              <w:t>.</w:t>
            </w:r>
            <w:r w:rsidRPr="00277C7F">
              <w:rPr>
                <w:b/>
                <w:bCs/>
              </w:rPr>
              <w:t>5</w:t>
            </w:r>
            <w:r w:rsidR="002B6D8E" w:rsidRPr="00277C7F">
              <w:rPr>
                <w:b/>
                <w:bCs/>
              </w:rPr>
              <w:t>%</w:t>
            </w:r>
            <w:r>
              <w:rPr>
                <w:b/>
                <w:bCs/>
              </w:rPr>
              <w:t>)</w:t>
            </w:r>
          </w:p>
        </w:tc>
        <w:tc>
          <w:tcPr>
            <w:tcW w:w="882" w:type="dxa"/>
            <w:tcBorders>
              <w:top w:val="nil"/>
              <w:left w:val="nil"/>
              <w:bottom w:val="single" w:sz="4" w:space="0" w:color="93B7BB"/>
              <w:right w:val="single" w:sz="4" w:space="0" w:color="93B7BB"/>
            </w:tcBorders>
            <w:vAlign w:val="bottom"/>
          </w:tcPr>
          <w:p w14:paraId="48585181" w14:textId="31E4726F" w:rsidR="002B6D8E" w:rsidRPr="00277C7F" w:rsidRDefault="00277C7F" w:rsidP="00277C7F">
            <w:pPr>
              <w:pStyle w:val="Tabletext"/>
              <w:keepNext/>
              <w:keepLines/>
              <w:jc w:val="right"/>
              <w:rPr>
                <w:b/>
                <w:bCs/>
                <w:color w:val="auto"/>
              </w:rPr>
            </w:pPr>
            <w:r>
              <w:rPr>
                <w:b/>
                <w:bCs/>
                <w:spacing w:val="-1"/>
              </w:rPr>
              <w:t>(5</w:t>
            </w:r>
            <w:r w:rsidR="00497D4E" w:rsidRPr="00277C7F">
              <w:rPr>
                <w:b/>
                <w:bCs/>
              </w:rPr>
              <w:t>.</w:t>
            </w:r>
            <w:r>
              <w:rPr>
                <w:b/>
                <w:bCs/>
              </w:rPr>
              <w:t>5</w:t>
            </w:r>
            <w:r w:rsidR="002B6D8E" w:rsidRPr="00277C7F">
              <w:rPr>
                <w:b/>
                <w:bCs/>
                <w:spacing w:val="-3"/>
              </w:rPr>
              <w:t>%</w:t>
            </w:r>
            <w:r>
              <w:rPr>
                <w:b/>
                <w:bCs/>
                <w:spacing w:val="-3"/>
              </w:rPr>
              <w:t>)</w:t>
            </w:r>
          </w:p>
        </w:tc>
      </w:tr>
      <w:tr w:rsidR="002B6D8E" w:rsidRPr="00716EDB" w14:paraId="477DC412" w14:textId="77777777" w:rsidTr="002B6D8E">
        <w:tc>
          <w:tcPr>
            <w:tcW w:w="5332" w:type="dxa"/>
            <w:tcBorders>
              <w:top w:val="single" w:sz="4" w:space="0" w:color="93B7BB"/>
              <w:left w:val="nil"/>
              <w:right w:val="nil"/>
            </w:tcBorders>
          </w:tcPr>
          <w:p w14:paraId="2AF10FA9" w14:textId="77777777" w:rsidR="002B6D8E" w:rsidRPr="00B2361E" w:rsidRDefault="002B6D8E" w:rsidP="002B6D8E">
            <w:pPr>
              <w:pStyle w:val="Tabletext"/>
              <w:keepNext/>
              <w:keepLines/>
              <w:rPr>
                <w:color w:val="auto"/>
              </w:rPr>
            </w:pPr>
            <w:r>
              <w:t>(Loss) / p</w:t>
            </w:r>
            <w:r w:rsidRPr="00B2361E">
              <w:t>ro</w:t>
            </w:r>
            <w:r w:rsidRPr="00B2361E">
              <w:rPr>
                <w:spacing w:val="-3"/>
              </w:rPr>
              <w:t>fit</w:t>
            </w:r>
            <w:r w:rsidRPr="00B2361E">
              <w:rPr>
                <w:spacing w:val="-6"/>
              </w:rPr>
              <w:t xml:space="preserve"> </w:t>
            </w:r>
            <w:r w:rsidRPr="00B2361E">
              <w:rPr>
                <w:spacing w:val="-3"/>
              </w:rPr>
              <w:t>o</w:t>
            </w:r>
            <w:r w:rsidRPr="00B2361E">
              <w:t>n</w:t>
            </w:r>
            <w:r w:rsidRPr="00B2361E">
              <w:rPr>
                <w:spacing w:val="-6"/>
              </w:rPr>
              <w:t xml:space="preserve"> </w:t>
            </w:r>
            <w:r w:rsidRPr="00B2361E">
              <w:rPr>
                <w:spacing w:val="-3"/>
              </w:rPr>
              <w:t>sal</w:t>
            </w:r>
            <w:r w:rsidRPr="00B2361E">
              <w:t>e</w:t>
            </w:r>
            <w:r w:rsidRPr="00B2361E">
              <w:rPr>
                <w:spacing w:val="-5"/>
              </w:rPr>
              <w:t xml:space="preserve"> </w:t>
            </w:r>
            <w:r w:rsidRPr="00B2361E">
              <w:t>o</w:t>
            </w:r>
            <w:r w:rsidRPr="00B2361E">
              <w:rPr>
                <w:spacing w:val="-1"/>
              </w:rPr>
              <w:t>f</w:t>
            </w:r>
            <w:r w:rsidRPr="00B2361E">
              <w:rPr>
                <w:spacing w:val="-6"/>
              </w:rPr>
              <w:t xml:space="preserve"> </w:t>
            </w:r>
            <w:r w:rsidRPr="00B2361E">
              <w:rPr>
                <w:spacing w:val="-3"/>
              </w:rPr>
              <w:t>pr</w:t>
            </w:r>
            <w:r w:rsidRPr="00B2361E">
              <w:t>o</w:t>
            </w:r>
            <w:r w:rsidRPr="00B2361E">
              <w:rPr>
                <w:spacing w:val="-3"/>
              </w:rPr>
              <w:t>p</w:t>
            </w:r>
            <w:r w:rsidRPr="00B2361E">
              <w:t>er</w:t>
            </w:r>
            <w:r w:rsidRPr="00B2361E">
              <w:rPr>
                <w:spacing w:val="-3"/>
              </w:rPr>
              <w:t>t</w:t>
            </w:r>
            <w:r w:rsidRPr="00B2361E">
              <w:t>y,</w:t>
            </w:r>
            <w:r w:rsidRPr="00B2361E">
              <w:rPr>
                <w:spacing w:val="-5"/>
              </w:rPr>
              <w:t xml:space="preserve"> </w:t>
            </w:r>
            <w:r w:rsidRPr="00B2361E">
              <w:t>plant</w:t>
            </w:r>
            <w:r w:rsidRPr="00B2361E">
              <w:rPr>
                <w:spacing w:val="-6"/>
              </w:rPr>
              <w:t xml:space="preserve"> </w:t>
            </w:r>
            <w:r w:rsidRPr="00B2361E">
              <w:t>and</w:t>
            </w:r>
            <w:r w:rsidRPr="00B2361E">
              <w:rPr>
                <w:spacing w:val="-6"/>
              </w:rPr>
              <w:t xml:space="preserve"> </w:t>
            </w:r>
            <w:r w:rsidRPr="00B2361E">
              <w:rPr>
                <w:spacing w:val="-5"/>
              </w:rPr>
              <w:t>e</w:t>
            </w:r>
            <w:r w:rsidRPr="00B2361E">
              <w:t>quipm</w:t>
            </w:r>
            <w:r w:rsidRPr="00B2361E">
              <w:rPr>
                <w:spacing w:val="-5"/>
              </w:rPr>
              <w:t>e</w:t>
            </w:r>
            <w:r w:rsidRPr="00B2361E">
              <w:t>nt</w:t>
            </w:r>
          </w:p>
        </w:tc>
        <w:tc>
          <w:tcPr>
            <w:tcW w:w="917" w:type="dxa"/>
            <w:tcBorders>
              <w:top w:val="single" w:sz="4" w:space="0" w:color="93B7BB"/>
              <w:left w:val="nil"/>
              <w:right w:val="nil"/>
            </w:tcBorders>
            <w:shd w:val="clear" w:color="auto" w:fill="EFF4F5"/>
            <w:vAlign w:val="bottom"/>
          </w:tcPr>
          <w:p w14:paraId="7CF29D88" w14:textId="16BC4C43" w:rsidR="002B6D8E" w:rsidRPr="001426FA" w:rsidRDefault="00F87231" w:rsidP="002B6D8E">
            <w:pPr>
              <w:pStyle w:val="Tabletext"/>
              <w:keepNext/>
              <w:keepLines/>
              <w:jc w:val="right"/>
              <w:rPr>
                <w:b/>
                <w:bCs/>
              </w:rPr>
            </w:pPr>
            <w:r>
              <w:rPr>
                <w:b/>
                <w:bCs/>
              </w:rPr>
              <w:t>(0.8)</w:t>
            </w:r>
          </w:p>
        </w:tc>
        <w:tc>
          <w:tcPr>
            <w:tcW w:w="2823" w:type="dxa"/>
            <w:gridSpan w:val="3"/>
            <w:tcBorders>
              <w:top w:val="single" w:sz="4" w:space="0" w:color="93B7BB"/>
              <w:left w:val="nil"/>
              <w:right w:val="nil"/>
            </w:tcBorders>
            <w:vAlign w:val="bottom"/>
          </w:tcPr>
          <w:p w14:paraId="02927421" w14:textId="7B6D3A53" w:rsidR="002B6D8E" w:rsidRPr="00A26862" w:rsidRDefault="002B6D8E" w:rsidP="00102023">
            <w:pPr>
              <w:pStyle w:val="Tabletext"/>
              <w:keepNext/>
              <w:keepLines/>
              <w:rPr>
                <w:color w:val="auto"/>
              </w:rPr>
            </w:pPr>
            <w:r w:rsidRPr="00A26862">
              <w:t xml:space="preserve">               1</w:t>
            </w:r>
            <w:r w:rsidR="00102023">
              <w:t>8</w:t>
            </w:r>
            <w:r w:rsidRPr="00A26862">
              <w:t>.</w:t>
            </w:r>
            <w:r w:rsidR="00102023">
              <w:t>5</w:t>
            </w:r>
          </w:p>
        </w:tc>
      </w:tr>
      <w:tr w:rsidR="002B6D8E" w:rsidRPr="00716EDB" w14:paraId="1CF209EC" w14:textId="77777777" w:rsidTr="002B6D8E">
        <w:tc>
          <w:tcPr>
            <w:tcW w:w="5332" w:type="dxa"/>
            <w:tcBorders>
              <w:left w:val="nil"/>
              <w:bottom w:val="nil"/>
              <w:right w:val="nil"/>
            </w:tcBorders>
          </w:tcPr>
          <w:p w14:paraId="3ED7B537" w14:textId="77777777" w:rsidR="002B6D8E" w:rsidRPr="00B2361E" w:rsidRDefault="002B6D8E" w:rsidP="002B6D8E">
            <w:pPr>
              <w:pStyle w:val="Tabletext"/>
              <w:rPr>
                <w:b/>
                <w:bCs/>
                <w:spacing w:val="-3"/>
              </w:rPr>
            </w:pPr>
            <w:r w:rsidRPr="00B2361E">
              <w:t>N</w:t>
            </w:r>
            <w:r w:rsidRPr="00B2361E">
              <w:rPr>
                <w:spacing w:val="-3"/>
              </w:rPr>
              <w:t>e</w:t>
            </w:r>
            <w:r w:rsidRPr="00B2361E">
              <w:t>t</w:t>
            </w:r>
            <w:r w:rsidRPr="00B2361E">
              <w:rPr>
                <w:spacing w:val="2"/>
              </w:rPr>
              <w:t xml:space="preserve"> </w:t>
            </w:r>
            <w:r w:rsidRPr="00B2361E">
              <w:t>finan</w:t>
            </w:r>
            <w:r w:rsidRPr="00B2361E">
              <w:rPr>
                <w:spacing w:val="-5"/>
              </w:rPr>
              <w:t>ce</w:t>
            </w:r>
            <w:r w:rsidRPr="00B2361E">
              <w:rPr>
                <w:spacing w:val="2"/>
              </w:rPr>
              <w:t xml:space="preserve"> </w:t>
            </w:r>
            <w:r w:rsidRPr="00B2361E">
              <w:t>c</w:t>
            </w:r>
            <w:r w:rsidRPr="00B2361E">
              <w:rPr>
                <w:spacing w:val="-3"/>
              </w:rPr>
              <w:t>o</w:t>
            </w:r>
            <w:r w:rsidRPr="00B2361E">
              <w:t>sts</w:t>
            </w:r>
          </w:p>
        </w:tc>
        <w:tc>
          <w:tcPr>
            <w:tcW w:w="917" w:type="dxa"/>
            <w:tcBorders>
              <w:left w:val="nil"/>
              <w:bottom w:val="nil"/>
              <w:right w:val="nil"/>
            </w:tcBorders>
            <w:shd w:val="clear" w:color="auto" w:fill="EFF4F5"/>
            <w:vAlign w:val="bottom"/>
          </w:tcPr>
          <w:p w14:paraId="744FE52E" w14:textId="50C66CFF" w:rsidR="002B6D8E" w:rsidRPr="00FD6A5C" w:rsidRDefault="00F87231" w:rsidP="002B6D8E">
            <w:pPr>
              <w:pStyle w:val="Tabletext"/>
              <w:keepNext/>
              <w:keepLines/>
              <w:jc w:val="right"/>
              <w:rPr>
                <w:b/>
                <w:bCs/>
              </w:rPr>
            </w:pPr>
            <w:r>
              <w:rPr>
                <w:b/>
                <w:bCs/>
              </w:rPr>
              <w:t>(21.1)</w:t>
            </w:r>
          </w:p>
        </w:tc>
        <w:tc>
          <w:tcPr>
            <w:tcW w:w="1123" w:type="dxa"/>
            <w:tcBorders>
              <w:left w:val="nil"/>
              <w:bottom w:val="nil"/>
              <w:right w:val="nil"/>
            </w:tcBorders>
            <w:vAlign w:val="bottom"/>
          </w:tcPr>
          <w:p w14:paraId="38180C9F" w14:textId="66DAC7A5" w:rsidR="002B6D8E" w:rsidRPr="00F87231" w:rsidRDefault="002B6D8E" w:rsidP="00102023">
            <w:pPr>
              <w:pStyle w:val="Tabletext"/>
              <w:keepNext/>
              <w:keepLines/>
              <w:jc w:val="right"/>
            </w:pPr>
            <w:r w:rsidRPr="00F87231">
              <w:t>(</w:t>
            </w:r>
            <w:r w:rsidR="00102023" w:rsidRPr="00F87231">
              <w:t>85</w:t>
            </w:r>
            <w:r w:rsidRPr="00F87231">
              <w:t>.</w:t>
            </w:r>
            <w:r w:rsidR="00102023" w:rsidRPr="00F87231">
              <w:t>6</w:t>
            </w:r>
            <w:r w:rsidRPr="00F87231">
              <w:t>)</w:t>
            </w:r>
          </w:p>
        </w:tc>
        <w:tc>
          <w:tcPr>
            <w:tcW w:w="818" w:type="dxa"/>
            <w:tcBorders>
              <w:left w:val="nil"/>
              <w:bottom w:val="nil"/>
              <w:right w:val="nil"/>
            </w:tcBorders>
            <w:vAlign w:val="bottom"/>
          </w:tcPr>
          <w:p w14:paraId="0DA913CB" w14:textId="77777777" w:rsidR="002B6D8E" w:rsidRPr="00B2361E" w:rsidRDefault="002B6D8E" w:rsidP="002B6D8E">
            <w:pPr>
              <w:pStyle w:val="Tabletext"/>
              <w:jc w:val="right"/>
              <w:rPr>
                <w:b/>
                <w:bCs/>
                <w:spacing w:val="-3"/>
              </w:rPr>
            </w:pPr>
          </w:p>
        </w:tc>
        <w:tc>
          <w:tcPr>
            <w:tcW w:w="882" w:type="dxa"/>
            <w:tcBorders>
              <w:left w:val="nil"/>
              <w:bottom w:val="nil"/>
              <w:right w:val="nil"/>
            </w:tcBorders>
            <w:vAlign w:val="bottom"/>
          </w:tcPr>
          <w:p w14:paraId="2A691908" w14:textId="77777777" w:rsidR="002B6D8E" w:rsidRPr="00B2361E" w:rsidRDefault="002B6D8E" w:rsidP="002B6D8E">
            <w:pPr>
              <w:pStyle w:val="Tabletext"/>
              <w:jc w:val="right"/>
              <w:rPr>
                <w:b/>
                <w:bCs/>
              </w:rPr>
            </w:pPr>
          </w:p>
        </w:tc>
      </w:tr>
      <w:tr w:rsidR="002B6D8E" w:rsidRPr="00716EDB" w14:paraId="1357D2C9" w14:textId="77777777" w:rsidTr="002B6D8E">
        <w:tc>
          <w:tcPr>
            <w:tcW w:w="5332" w:type="dxa"/>
            <w:tcBorders>
              <w:top w:val="single" w:sz="2" w:space="0" w:color="93B7BB"/>
              <w:left w:val="nil"/>
              <w:bottom w:val="nil"/>
              <w:right w:val="nil"/>
            </w:tcBorders>
          </w:tcPr>
          <w:p w14:paraId="0C735730" w14:textId="77777777" w:rsidR="002B6D8E" w:rsidRPr="00B2361E" w:rsidRDefault="002B6D8E" w:rsidP="002B6D8E">
            <w:pPr>
              <w:pStyle w:val="Tabletext"/>
              <w:rPr>
                <w:b/>
                <w:bCs/>
                <w:color w:val="auto"/>
              </w:rPr>
            </w:pPr>
            <w:r>
              <w:rPr>
                <w:b/>
                <w:bCs/>
                <w:spacing w:val="-3"/>
              </w:rPr>
              <w:t>Profit / (l</w:t>
            </w:r>
            <w:r w:rsidRPr="00B2361E">
              <w:rPr>
                <w:b/>
                <w:bCs/>
                <w:spacing w:val="-3"/>
              </w:rPr>
              <w:t>o</w:t>
            </w:r>
            <w:r w:rsidRPr="00B2361E">
              <w:rPr>
                <w:b/>
                <w:bCs/>
              </w:rPr>
              <w:t>ss</w:t>
            </w:r>
            <w:r>
              <w:rPr>
                <w:b/>
                <w:bCs/>
              </w:rPr>
              <w:t>)</w:t>
            </w:r>
            <w:r w:rsidRPr="00B2361E">
              <w:rPr>
                <w:b/>
                <w:bCs/>
                <w:spacing w:val="-11"/>
              </w:rPr>
              <w:t xml:space="preserve"> </w:t>
            </w:r>
            <w:r w:rsidRPr="00B2361E">
              <w:rPr>
                <w:b/>
                <w:bCs/>
              </w:rPr>
              <w:t>b</w:t>
            </w:r>
            <w:r w:rsidRPr="00B2361E">
              <w:rPr>
                <w:b/>
                <w:bCs/>
                <w:spacing w:val="-3"/>
              </w:rPr>
              <w:t>e</w:t>
            </w:r>
            <w:r w:rsidRPr="00B2361E">
              <w:rPr>
                <w:b/>
                <w:bCs/>
              </w:rPr>
              <w:t>f</w:t>
            </w:r>
            <w:r w:rsidRPr="00B2361E">
              <w:rPr>
                <w:b/>
                <w:bCs/>
                <w:spacing w:val="-3"/>
              </w:rPr>
              <w:t>ore</w:t>
            </w:r>
            <w:r w:rsidRPr="00B2361E">
              <w:rPr>
                <w:b/>
                <w:bCs/>
                <w:spacing w:val="-10"/>
              </w:rPr>
              <w:t xml:space="preserve"> </w:t>
            </w:r>
            <w:r w:rsidRPr="00B2361E">
              <w:rPr>
                <w:b/>
                <w:bCs/>
              </w:rPr>
              <w:t>tax</w:t>
            </w:r>
          </w:p>
        </w:tc>
        <w:tc>
          <w:tcPr>
            <w:tcW w:w="917" w:type="dxa"/>
            <w:tcBorders>
              <w:top w:val="single" w:sz="2" w:space="0" w:color="93B7BB"/>
              <w:left w:val="nil"/>
              <w:bottom w:val="nil"/>
              <w:right w:val="nil"/>
            </w:tcBorders>
            <w:shd w:val="clear" w:color="auto" w:fill="EFF4F5"/>
            <w:vAlign w:val="bottom"/>
          </w:tcPr>
          <w:p w14:paraId="3FE4859C" w14:textId="6750577D" w:rsidR="002B6D8E" w:rsidRPr="0070370A" w:rsidRDefault="00F87231" w:rsidP="002B6D8E">
            <w:pPr>
              <w:pStyle w:val="Tabletext"/>
              <w:keepNext/>
              <w:keepLines/>
              <w:jc w:val="right"/>
              <w:rPr>
                <w:b/>
                <w:bCs/>
              </w:rPr>
            </w:pPr>
            <w:r>
              <w:rPr>
                <w:b/>
                <w:bCs/>
              </w:rPr>
              <w:t>73.6</w:t>
            </w:r>
          </w:p>
        </w:tc>
        <w:tc>
          <w:tcPr>
            <w:tcW w:w="1123" w:type="dxa"/>
            <w:tcBorders>
              <w:top w:val="single" w:sz="2" w:space="0" w:color="93B7BB"/>
              <w:left w:val="nil"/>
              <w:bottom w:val="nil"/>
              <w:right w:val="nil"/>
            </w:tcBorders>
            <w:vAlign w:val="bottom"/>
          </w:tcPr>
          <w:p w14:paraId="3CE67BDA" w14:textId="426E2C83" w:rsidR="002B6D8E" w:rsidRPr="00B2361E" w:rsidRDefault="002B6D8E" w:rsidP="00102023">
            <w:pPr>
              <w:pStyle w:val="Tabletext"/>
              <w:jc w:val="right"/>
              <w:rPr>
                <w:b/>
                <w:bCs/>
                <w:color w:val="auto"/>
              </w:rPr>
            </w:pPr>
            <w:r w:rsidRPr="00B2361E">
              <w:rPr>
                <w:b/>
                <w:bCs/>
              </w:rPr>
              <w:t>(</w:t>
            </w:r>
            <w:r w:rsidR="00102023">
              <w:rPr>
                <w:b/>
                <w:bCs/>
                <w:spacing w:val="-3"/>
              </w:rPr>
              <w:t>7</w:t>
            </w:r>
            <w:r w:rsidRPr="00B2361E">
              <w:rPr>
                <w:b/>
                <w:bCs/>
              </w:rPr>
              <w:t>.</w:t>
            </w:r>
            <w:r w:rsidR="00102023">
              <w:rPr>
                <w:b/>
                <w:bCs/>
                <w:spacing w:val="-3"/>
              </w:rPr>
              <w:t>0</w:t>
            </w:r>
            <w:r w:rsidRPr="00B2361E">
              <w:rPr>
                <w:b/>
                <w:bCs/>
              </w:rPr>
              <w:t>)</w:t>
            </w:r>
          </w:p>
        </w:tc>
        <w:tc>
          <w:tcPr>
            <w:tcW w:w="818" w:type="dxa"/>
            <w:tcBorders>
              <w:top w:val="single" w:sz="2" w:space="0" w:color="93B7BB"/>
              <w:left w:val="nil"/>
              <w:bottom w:val="nil"/>
              <w:right w:val="nil"/>
            </w:tcBorders>
            <w:vAlign w:val="bottom"/>
          </w:tcPr>
          <w:p w14:paraId="712A2D4A" w14:textId="7FCB7896" w:rsidR="002B6D8E" w:rsidRPr="00B2361E" w:rsidRDefault="002B6D8E" w:rsidP="00B9274A">
            <w:pPr>
              <w:pStyle w:val="Tabletext"/>
              <w:jc w:val="right"/>
              <w:rPr>
                <w:b/>
                <w:bCs/>
                <w:color w:val="auto"/>
              </w:rPr>
            </w:pPr>
          </w:p>
        </w:tc>
        <w:tc>
          <w:tcPr>
            <w:tcW w:w="882" w:type="dxa"/>
            <w:tcBorders>
              <w:top w:val="single" w:sz="2" w:space="0" w:color="93B7BB"/>
              <w:left w:val="nil"/>
              <w:bottom w:val="nil"/>
              <w:right w:val="nil"/>
            </w:tcBorders>
            <w:vAlign w:val="bottom"/>
          </w:tcPr>
          <w:p w14:paraId="7A185A94" w14:textId="103942FC" w:rsidR="002B6D8E" w:rsidRPr="00B2361E" w:rsidRDefault="002B6D8E" w:rsidP="00B9274A">
            <w:pPr>
              <w:pStyle w:val="Tabletext"/>
              <w:jc w:val="right"/>
              <w:rPr>
                <w:b/>
                <w:bCs/>
                <w:color w:val="auto"/>
              </w:rPr>
            </w:pPr>
          </w:p>
        </w:tc>
      </w:tr>
      <w:tr w:rsidR="002B6D8E" w:rsidRPr="00716EDB" w14:paraId="1B5B8F44" w14:textId="77777777" w:rsidTr="002B6D8E">
        <w:tc>
          <w:tcPr>
            <w:tcW w:w="5332" w:type="dxa"/>
            <w:tcBorders>
              <w:top w:val="nil"/>
              <w:left w:val="nil"/>
              <w:bottom w:val="single" w:sz="2" w:space="0" w:color="93B7BB"/>
              <w:right w:val="nil"/>
            </w:tcBorders>
          </w:tcPr>
          <w:p w14:paraId="2B3E159A" w14:textId="77777777" w:rsidR="002B6D8E" w:rsidRPr="00B2361E" w:rsidRDefault="002B6D8E" w:rsidP="002B6D8E">
            <w:pPr>
              <w:pStyle w:val="Tabletext"/>
              <w:rPr>
                <w:color w:val="auto"/>
              </w:rPr>
            </w:pPr>
            <w:r w:rsidRPr="00B2361E">
              <w:rPr>
                <w:spacing w:val="-6"/>
                <w:w w:val="110"/>
              </w:rPr>
              <w:t>T</w:t>
            </w:r>
            <w:r w:rsidRPr="00B2361E">
              <w:rPr>
                <w:spacing w:val="-5"/>
                <w:w w:val="110"/>
              </w:rPr>
              <w:t>axat</w:t>
            </w:r>
            <w:r w:rsidRPr="00B2361E">
              <w:rPr>
                <w:spacing w:val="-6"/>
                <w:w w:val="110"/>
              </w:rPr>
              <w:t>io</w:t>
            </w:r>
            <w:r w:rsidRPr="00B2361E">
              <w:rPr>
                <w:spacing w:val="-5"/>
                <w:w w:val="110"/>
              </w:rPr>
              <w:t>n</w:t>
            </w:r>
          </w:p>
        </w:tc>
        <w:tc>
          <w:tcPr>
            <w:tcW w:w="917" w:type="dxa"/>
            <w:tcBorders>
              <w:top w:val="nil"/>
              <w:left w:val="nil"/>
              <w:bottom w:val="single" w:sz="2" w:space="0" w:color="93B7BB"/>
              <w:right w:val="nil"/>
            </w:tcBorders>
            <w:shd w:val="clear" w:color="auto" w:fill="EFF4F5"/>
            <w:vAlign w:val="bottom"/>
          </w:tcPr>
          <w:p w14:paraId="07CF91B6" w14:textId="3BDE17CA" w:rsidR="002B6D8E" w:rsidRPr="0070370A" w:rsidRDefault="00F87231" w:rsidP="002B6D8E">
            <w:pPr>
              <w:pStyle w:val="Tabletext"/>
              <w:keepNext/>
              <w:keepLines/>
              <w:jc w:val="right"/>
              <w:rPr>
                <w:b/>
                <w:bCs/>
              </w:rPr>
            </w:pPr>
            <w:r>
              <w:rPr>
                <w:b/>
                <w:bCs/>
              </w:rPr>
              <w:t>(13.6)</w:t>
            </w:r>
          </w:p>
        </w:tc>
        <w:tc>
          <w:tcPr>
            <w:tcW w:w="1123" w:type="dxa"/>
            <w:tcBorders>
              <w:top w:val="nil"/>
              <w:left w:val="nil"/>
              <w:bottom w:val="single" w:sz="2" w:space="0" w:color="93B7BB"/>
              <w:right w:val="nil"/>
            </w:tcBorders>
            <w:vAlign w:val="bottom"/>
          </w:tcPr>
          <w:p w14:paraId="4115A1A6" w14:textId="4D33B115" w:rsidR="002B6D8E" w:rsidRPr="00B2361E" w:rsidRDefault="00102023" w:rsidP="00102023">
            <w:pPr>
              <w:pStyle w:val="Tabletext"/>
              <w:jc w:val="right"/>
              <w:rPr>
                <w:color w:val="auto"/>
              </w:rPr>
            </w:pPr>
            <w:r>
              <w:t>13</w:t>
            </w:r>
            <w:r w:rsidR="002B6D8E" w:rsidRPr="00B2361E">
              <w:rPr>
                <w:spacing w:val="-3"/>
              </w:rPr>
              <w:t>.</w:t>
            </w:r>
            <w:r>
              <w:rPr>
                <w:spacing w:val="-3"/>
              </w:rPr>
              <w:t>0</w:t>
            </w:r>
          </w:p>
        </w:tc>
        <w:tc>
          <w:tcPr>
            <w:tcW w:w="818" w:type="dxa"/>
            <w:tcBorders>
              <w:top w:val="nil"/>
              <w:left w:val="nil"/>
              <w:bottom w:val="single" w:sz="2" w:space="0" w:color="93B7BB"/>
              <w:right w:val="nil"/>
            </w:tcBorders>
            <w:vAlign w:val="bottom"/>
          </w:tcPr>
          <w:p w14:paraId="75E72F6C" w14:textId="77777777" w:rsidR="002B6D8E" w:rsidRPr="00B2361E" w:rsidRDefault="002B6D8E" w:rsidP="002B6D8E">
            <w:pPr>
              <w:pStyle w:val="Tabletext"/>
              <w:jc w:val="right"/>
              <w:rPr>
                <w:color w:val="auto"/>
              </w:rPr>
            </w:pPr>
          </w:p>
        </w:tc>
        <w:tc>
          <w:tcPr>
            <w:tcW w:w="882" w:type="dxa"/>
            <w:tcBorders>
              <w:top w:val="nil"/>
              <w:left w:val="nil"/>
              <w:bottom w:val="single" w:sz="2" w:space="0" w:color="93B7BB"/>
              <w:right w:val="nil"/>
            </w:tcBorders>
            <w:vAlign w:val="bottom"/>
          </w:tcPr>
          <w:p w14:paraId="4113456F" w14:textId="77777777" w:rsidR="002B6D8E" w:rsidRPr="00B2361E" w:rsidRDefault="002B6D8E" w:rsidP="002B6D8E">
            <w:pPr>
              <w:pStyle w:val="Tabletext"/>
              <w:jc w:val="right"/>
              <w:rPr>
                <w:color w:val="auto"/>
              </w:rPr>
            </w:pPr>
          </w:p>
        </w:tc>
      </w:tr>
      <w:tr w:rsidR="002B6D8E" w:rsidRPr="00FA3EFD" w14:paraId="7F8CF5AB" w14:textId="77777777" w:rsidTr="002B6D8E">
        <w:tc>
          <w:tcPr>
            <w:tcW w:w="5332" w:type="dxa"/>
            <w:tcBorders>
              <w:top w:val="nil"/>
              <w:left w:val="nil"/>
              <w:bottom w:val="single" w:sz="2" w:space="0" w:color="93B7BB"/>
              <w:right w:val="nil"/>
            </w:tcBorders>
          </w:tcPr>
          <w:p w14:paraId="2293D250" w14:textId="66CCD9BB" w:rsidR="002B6D8E" w:rsidRPr="00FA3EFD" w:rsidRDefault="002B6D8E" w:rsidP="00BC4DF7">
            <w:pPr>
              <w:pStyle w:val="Tabletext"/>
              <w:rPr>
                <w:b/>
                <w:spacing w:val="-6"/>
                <w:w w:val="110"/>
              </w:rPr>
            </w:pPr>
            <w:r w:rsidRPr="00FA3EFD">
              <w:rPr>
                <w:b/>
              </w:rPr>
              <w:t>Pro</w:t>
            </w:r>
            <w:r w:rsidRPr="00FA3EFD">
              <w:rPr>
                <w:b/>
                <w:spacing w:val="-3"/>
              </w:rPr>
              <w:t>fit</w:t>
            </w:r>
            <w:r w:rsidRPr="00FA3EFD">
              <w:rPr>
                <w:b/>
                <w:spacing w:val="-10"/>
              </w:rPr>
              <w:t xml:space="preserve"> for </w:t>
            </w:r>
            <w:r w:rsidRPr="00FA3EFD">
              <w:rPr>
                <w:b/>
                <w:spacing w:val="-3"/>
              </w:rPr>
              <w:t>th</w:t>
            </w:r>
            <w:r w:rsidRPr="00FA3EFD">
              <w:rPr>
                <w:b/>
              </w:rPr>
              <w:t>e</w:t>
            </w:r>
            <w:r w:rsidRPr="00FA3EFD">
              <w:rPr>
                <w:b/>
                <w:spacing w:val="-10"/>
              </w:rPr>
              <w:t xml:space="preserve"> </w:t>
            </w:r>
            <w:r w:rsidR="00DD189B" w:rsidRPr="00FA3EFD">
              <w:rPr>
                <w:b/>
                <w:spacing w:val="-5"/>
              </w:rPr>
              <w:t>y</w:t>
            </w:r>
            <w:r w:rsidRPr="00FA3EFD">
              <w:rPr>
                <w:b/>
                <w:spacing w:val="-5"/>
              </w:rPr>
              <w:t>e</w:t>
            </w:r>
            <w:r w:rsidR="00DD189B" w:rsidRPr="00FA3EFD">
              <w:rPr>
                <w:b/>
                <w:spacing w:val="-5"/>
              </w:rPr>
              <w:t>a</w:t>
            </w:r>
            <w:r w:rsidRPr="00FA3EFD">
              <w:rPr>
                <w:b/>
                <w:spacing w:val="-5"/>
              </w:rPr>
              <w:t>r</w:t>
            </w:r>
          </w:p>
        </w:tc>
        <w:tc>
          <w:tcPr>
            <w:tcW w:w="917" w:type="dxa"/>
            <w:tcBorders>
              <w:top w:val="nil"/>
              <w:left w:val="nil"/>
              <w:bottom w:val="single" w:sz="2" w:space="0" w:color="93B7BB"/>
              <w:right w:val="nil"/>
            </w:tcBorders>
            <w:shd w:val="clear" w:color="auto" w:fill="EFF4F5"/>
            <w:vAlign w:val="bottom"/>
          </w:tcPr>
          <w:p w14:paraId="1BF7F9CB" w14:textId="52437F9E" w:rsidR="002B6D8E" w:rsidRPr="00FA3EFD" w:rsidRDefault="00F87231" w:rsidP="002B6D8E">
            <w:pPr>
              <w:pStyle w:val="Tabletext"/>
              <w:keepNext/>
              <w:keepLines/>
              <w:jc w:val="right"/>
              <w:rPr>
                <w:b/>
                <w:bCs/>
              </w:rPr>
            </w:pPr>
            <w:r>
              <w:rPr>
                <w:b/>
                <w:bCs/>
              </w:rPr>
              <w:t>60.0</w:t>
            </w:r>
          </w:p>
        </w:tc>
        <w:tc>
          <w:tcPr>
            <w:tcW w:w="1123" w:type="dxa"/>
            <w:tcBorders>
              <w:top w:val="nil"/>
              <w:left w:val="nil"/>
              <w:bottom w:val="single" w:sz="2" w:space="0" w:color="93B7BB"/>
              <w:right w:val="nil"/>
            </w:tcBorders>
            <w:vAlign w:val="bottom"/>
          </w:tcPr>
          <w:p w14:paraId="1336931A" w14:textId="3F2024E0" w:rsidR="002B6D8E" w:rsidRPr="00FA3EFD" w:rsidRDefault="00102023" w:rsidP="00102023">
            <w:pPr>
              <w:pStyle w:val="Tabletext"/>
              <w:jc w:val="right"/>
              <w:rPr>
                <w:b/>
              </w:rPr>
            </w:pPr>
            <w:r w:rsidRPr="00FA3EFD">
              <w:rPr>
                <w:b/>
              </w:rPr>
              <w:t>6</w:t>
            </w:r>
            <w:r w:rsidR="002B6D8E" w:rsidRPr="00FA3EFD">
              <w:rPr>
                <w:b/>
              </w:rPr>
              <w:t>.</w:t>
            </w:r>
            <w:r w:rsidRPr="00FA3EFD">
              <w:rPr>
                <w:b/>
              </w:rPr>
              <w:t>0</w:t>
            </w:r>
          </w:p>
        </w:tc>
        <w:tc>
          <w:tcPr>
            <w:tcW w:w="818" w:type="dxa"/>
            <w:tcBorders>
              <w:top w:val="nil"/>
              <w:left w:val="nil"/>
              <w:bottom w:val="single" w:sz="2" w:space="0" w:color="93B7BB"/>
              <w:right w:val="nil"/>
            </w:tcBorders>
            <w:vAlign w:val="bottom"/>
          </w:tcPr>
          <w:p w14:paraId="2FB60252" w14:textId="77777777" w:rsidR="002B6D8E" w:rsidRPr="00FA3EFD" w:rsidRDefault="002B6D8E" w:rsidP="002B6D8E">
            <w:pPr>
              <w:pStyle w:val="Tabletext"/>
              <w:jc w:val="right"/>
              <w:rPr>
                <w:b/>
                <w:color w:val="auto"/>
              </w:rPr>
            </w:pPr>
          </w:p>
        </w:tc>
        <w:tc>
          <w:tcPr>
            <w:tcW w:w="882" w:type="dxa"/>
            <w:tcBorders>
              <w:top w:val="nil"/>
              <w:left w:val="nil"/>
              <w:bottom w:val="single" w:sz="2" w:space="0" w:color="93B7BB"/>
              <w:right w:val="nil"/>
            </w:tcBorders>
            <w:vAlign w:val="bottom"/>
          </w:tcPr>
          <w:p w14:paraId="7483CE44" w14:textId="77777777" w:rsidR="002B6D8E" w:rsidRPr="00FA3EFD" w:rsidRDefault="002B6D8E" w:rsidP="002B6D8E">
            <w:pPr>
              <w:pStyle w:val="Tabletext"/>
              <w:jc w:val="right"/>
              <w:rPr>
                <w:b/>
                <w:color w:val="auto"/>
              </w:rPr>
            </w:pPr>
          </w:p>
        </w:tc>
      </w:tr>
      <w:tr w:rsidR="002B6D8E" w:rsidRPr="00716EDB" w14:paraId="0E4F8555" w14:textId="77777777" w:rsidTr="002B6D8E">
        <w:tc>
          <w:tcPr>
            <w:tcW w:w="5332" w:type="dxa"/>
            <w:tcBorders>
              <w:top w:val="single" w:sz="4" w:space="0" w:color="93B7BB"/>
              <w:left w:val="nil"/>
              <w:bottom w:val="single" w:sz="2" w:space="0" w:color="93B7BB"/>
              <w:right w:val="nil"/>
            </w:tcBorders>
          </w:tcPr>
          <w:p w14:paraId="5DB9A1C6" w14:textId="77777777" w:rsidR="002B6D8E" w:rsidRPr="00B2361E" w:rsidRDefault="002B6D8E" w:rsidP="002B6D8E">
            <w:pPr>
              <w:pStyle w:val="Tabletext"/>
            </w:pPr>
          </w:p>
        </w:tc>
        <w:tc>
          <w:tcPr>
            <w:tcW w:w="917" w:type="dxa"/>
            <w:tcBorders>
              <w:top w:val="single" w:sz="4" w:space="0" w:color="93B7BB"/>
              <w:left w:val="nil"/>
              <w:bottom w:val="single" w:sz="2" w:space="0" w:color="93B7BB"/>
              <w:right w:val="nil"/>
            </w:tcBorders>
            <w:shd w:val="clear" w:color="auto" w:fill="EFF4F5"/>
            <w:vAlign w:val="bottom"/>
          </w:tcPr>
          <w:p w14:paraId="357FFE20" w14:textId="77777777" w:rsidR="002B6D8E" w:rsidRPr="00B2361E" w:rsidRDefault="002B6D8E" w:rsidP="002B6D8E">
            <w:pPr>
              <w:pStyle w:val="Tabletext"/>
            </w:pPr>
          </w:p>
        </w:tc>
        <w:tc>
          <w:tcPr>
            <w:tcW w:w="2823" w:type="dxa"/>
            <w:gridSpan w:val="3"/>
            <w:tcBorders>
              <w:top w:val="single" w:sz="4" w:space="0" w:color="93B7BB"/>
              <w:left w:val="nil"/>
              <w:bottom w:val="single" w:sz="2" w:space="0" w:color="93B7BB"/>
              <w:right w:val="nil"/>
            </w:tcBorders>
            <w:vAlign w:val="bottom"/>
          </w:tcPr>
          <w:p w14:paraId="0A44D943" w14:textId="77777777" w:rsidR="002B6D8E" w:rsidRPr="00B2361E" w:rsidRDefault="002B6D8E" w:rsidP="002B6D8E">
            <w:pPr>
              <w:pStyle w:val="Tabletext"/>
            </w:pPr>
          </w:p>
        </w:tc>
      </w:tr>
      <w:tr w:rsidR="002B6D8E" w:rsidRPr="00716EDB" w14:paraId="00E012DC" w14:textId="77777777" w:rsidTr="002B6D8E">
        <w:tc>
          <w:tcPr>
            <w:tcW w:w="5332" w:type="dxa"/>
            <w:tcBorders>
              <w:top w:val="single" w:sz="2" w:space="0" w:color="93B7BB"/>
              <w:left w:val="nil"/>
              <w:bottom w:val="nil"/>
              <w:right w:val="nil"/>
            </w:tcBorders>
          </w:tcPr>
          <w:p w14:paraId="1BBAC4E1" w14:textId="5D56B4DD" w:rsidR="002B6D8E" w:rsidRPr="00B2361E" w:rsidRDefault="002B6D8E" w:rsidP="00C744E9">
            <w:pPr>
              <w:pStyle w:val="Tabletext"/>
              <w:rPr>
                <w:b/>
                <w:bCs/>
                <w:color w:val="auto"/>
              </w:rPr>
            </w:pPr>
            <w:r w:rsidRPr="00B2361E">
              <w:rPr>
                <w:b/>
                <w:bCs/>
                <w:spacing w:val="-3"/>
              </w:rPr>
              <w:t>Adjusted</w:t>
            </w:r>
            <w:r w:rsidRPr="00B2361E">
              <w:rPr>
                <w:b/>
                <w:bCs/>
                <w:spacing w:val="-7"/>
              </w:rPr>
              <w:t xml:space="preserve"> </w:t>
            </w:r>
            <w:r w:rsidRPr="00B2361E">
              <w:rPr>
                <w:b/>
                <w:bCs/>
                <w:spacing w:val="-3"/>
              </w:rPr>
              <w:t>EBITDA</w:t>
            </w:r>
            <w:r w:rsidRPr="00B2361E">
              <w:rPr>
                <w:b/>
                <w:bCs/>
                <w:spacing w:val="-7"/>
              </w:rPr>
              <w:t xml:space="preserve"> </w:t>
            </w:r>
            <w:r w:rsidR="00C744E9" w:rsidRPr="00C744E9">
              <w:rPr>
                <w:b/>
                <w:bCs/>
                <w:vertAlign w:val="superscript"/>
              </w:rPr>
              <w:t>(2)</w:t>
            </w:r>
          </w:p>
        </w:tc>
        <w:tc>
          <w:tcPr>
            <w:tcW w:w="917" w:type="dxa"/>
            <w:tcBorders>
              <w:top w:val="single" w:sz="2" w:space="0" w:color="93B7BB"/>
              <w:left w:val="nil"/>
              <w:bottom w:val="nil"/>
              <w:right w:val="nil"/>
            </w:tcBorders>
            <w:shd w:val="clear" w:color="auto" w:fill="EFF4F5"/>
            <w:vAlign w:val="bottom"/>
          </w:tcPr>
          <w:p w14:paraId="671FABA6" w14:textId="0283A512" w:rsidR="002B6D8E" w:rsidRPr="00F87231" w:rsidRDefault="00F87231" w:rsidP="00F87231">
            <w:pPr>
              <w:pStyle w:val="Tabletext"/>
              <w:keepNext/>
              <w:keepLines/>
              <w:jc w:val="right"/>
              <w:rPr>
                <w:b/>
                <w:bCs/>
              </w:rPr>
            </w:pPr>
            <w:r w:rsidRPr="00F87231">
              <w:rPr>
                <w:b/>
                <w:bCs/>
              </w:rPr>
              <w:t>160.1</w:t>
            </w:r>
          </w:p>
        </w:tc>
        <w:tc>
          <w:tcPr>
            <w:tcW w:w="1123" w:type="dxa"/>
            <w:tcBorders>
              <w:top w:val="single" w:sz="2" w:space="0" w:color="93B7BB"/>
              <w:left w:val="nil"/>
              <w:bottom w:val="nil"/>
              <w:right w:val="nil"/>
            </w:tcBorders>
            <w:vAlign w:val="bottom"/>
          </w:tcPr>
          <w:p w14:paraId="4508FD2F" w14:textId="520D0225" w:rsidR="002B6D8E" w:rsidRPr="00F87231" w:rsidRDefault="00F87231" w:rsidP="00F87231">
            <w:pPr>
              <w:pStyle w:val="Tabletext"/>
              <w:keepNext/>
              <w:keepLines/>
              <w:jc w:val="right"/>
              <w:rPr>
                <w:b/>
                <w:bCs/>
              </w:rPr>
            </w:pPr>
            <w:r w:rsidRPr="00F87231">
              <w:rPr>
                <w:b/>
                <w:bCs/>
              </w:rPr>
              <w:t>156</w:t>
            </w:r>
            <w:r w:rsidR="002B6D8E" w:rsidRPr="00F87231">
              <w:rPr>
                <w:b/>
                <w:bCs/>
              </w:rPr>
              <w:t>.</w:t>
            </w:r>
            <w:r w:rsidRPr="00F87231">
              <w:rPr>
                <w:b/>
                <w:bCs/>
              </w:rPr>
              <w:t>7</w:t>
            </w:r>
          </w:p>
        </w:tc>
        <w:tc>
          <w:tcPr>
            <w:tcW w:w="818" w:type="dxa"/>
            <w:tcBorders>
              <w:top w:val="single" w:sz="2" w:space="0" w:color="93B7BB"/>
              <w:left w:val="nil"/>
              <w:bottom w:val="nil"/>
              <w:right w:val="nil"/>
            </w:tcBorders>
            <w:vAlign w:val="bottom"/>
          </w:tcPr>
          <w:p w14:paraId="04E5D3E9" w14:textId="09A0B958" w:rsidR="002B6D8E" w:rsidRPr="00F87231" w:rsidRDefault="00F87231" w:rsidP="00F87231">
            <w:pPr>
              <w:pStyle w:val="Tabletext"/>
              <w:jc w:val="right"/>
              <w:rPr>
                <w:b/>
                <w:bCs/>
                <w:color w:val="auto"/>
              </w:rPr>
            </w:pPr>
            <w:r>
              <w:rPr>
                <w:b/>
                <w:bCs/>
              </w:rPr>
              <w:t>2</w:t>
            </w:r>
            <w:r w:rsidR="00B9274A" w:rsidRPr="00F87231">
              <w:rPr>
                <w:b/>
                <w:bCs/>
              </w:rPr>
              <w:t>.</w:t>
            </w:r>
            <w:r>
              <w:rPr>
                <w:b/>
                <w:bCs/>
              </w:rPr>
              <w:t>2</w:t>
            </w:r>
            <w:r w:rsidR="002B6D8E" w:rsidRPr="00F87231">
              <w:rPr>
                <w:b/>
                <w:bCs/>
                <w:spacing w:val="-3"/>
              </w:rPr>
              <w:t>%</w:t>
            </w:r>
          </w:p>
        </w:tc>
        <w:tc>
          <w:tcPr>
            <w:tcW w:w="882" w:type="dxa"/>
            <w:tcBorders>
              <w:top w:val="single" w:sz="2" w:space="0" w:color="93B7BB"/>
              <w:left w:val="nil"/>
              <w:bottom w:val="nil"/>
              <w:right w:val="nil"/>
            </w:tcBorders>
            <w:vAlign w:val="bottom"/>
          </w:tcPr>
          <w:p w14:paraId="7FFF5154" w14:textId="6323B8B8" w:rsidR="002B6D8E" w:rsidRPr="00F87231" w:rsidRDefault="00F87231" w:rsidP="00F87231">
            <w:pPr>
              <w:pStyle w:val="Tabletext"/>
              <w:jc w:val="right"/>
              <w:rPr>
                <w:b/>
                <w:bCs/>
                <w:color w:val="auto"/>
              </w:rPr>
            </w:pPr>
            <w:r>
              <w:rPr>
                <w:b/>
                <w:bCs/>
                <w:spacing w:val="-1"/>
              </w:rPr>
              <w:t>(0</w:t>
            </w:r>
            <w:r w:rsidR="00B9274A" w:rsidRPr="00F87231">
              <w:rPr>
                <w:b/>
                <w:bCs/>
              </w:rPr>
              <w:t>.</w:t>
            </w:r>
            <w:r>
              <w:rPr>
                <w:b/>
                <w:bCs/>
              </w:rPr>
              <w:t>2</w:t>
            </w:r>
            <w:r w:rsidR="002B6D8E" w:rsidRPr="00F87231">
              <w:rPr>
                <w:b/>
                <w:bCs/>
              </w:rPr>
              <w:t>%</w:t>
            </w:r>
            <w:r>
              <w:rPr>
                <w:b/>
                <w:bCs/>
              </w:rPr>
              <w:t>)</w:t>
            </w:r>
          </w:p>
        </w:tc>
      </w:tr>
      <w:tr w:rsidR="00536F7D" w:rsidRPr="00716EDB" w14:paraId="5E8A2AAA" w14:textId="77777777" w:rsidTr="002B6D8E">
        <w:tc>
          <w:tcPr>
            <w:tcW w:w="5332" w:type="dxa"/>
            <w:tcBorders>
              <w:top w:val="nil"/>
              <w:left w:val="nil"/>
              <w:bottom w:val="nil"/>
              <w:right w:val="nil"/>
            </w:tcBorders>
          </w:tcPr>
          <w:p w14:paraId="436DC298" w14:textId="59215AD1" w:rsidR="00536F7D" w:rsidRPr="00B2361E" w:rsidRDefault="00536F7D" w:rsidP="00536F7D">
            <w:pPr>
              <w:pStyle w:val="Tabletext"/>
            </w:pPr>
            <w:r w:rsidRPr="00536F7D">
              <w:rPr>
                <w:b/>
              </w:rPr>
              <w:t>Adjusted operating profit before exceptional items</w:t>
            </w:r>
            <w:r>
              <w:rPr>
                <w:b/>
                <w:bCs/>
                <w:spacing w:val="-7"/>
              </w:rPr>
              <w:t xml:space="preserve"> </w:t>
            </w:r>
            <w:r w:rsidRPr="00C744E9">
              <w:rPr>
                <w:b/>
                <w:bCs/>
                <w:vertAlign w:val="superscript"/>
              </w:rPr>
              <w:t>(</w:t>
            </w:r>
            <w:r>
              <w:rPr>
                <w:b/>
                <w:bCs/>
                <w:vertAlign w:val="superscript"/>
              </w:rPr>
              <w:t>3</w:t>
            </w:r>
            <w:r w:rsidRPr="00C744E9">
              <w:rPr>
                <w:b/>
                <w:bCs/>
                <w:vertAlign w:val="superscript"/>
              </w:rPr>
              <w:t>)</w:t>
            </w:r>
          </w:p>
        </w:tc>
        <w:tc>
          <w:tcPr>
            <w:tcW w:w="917" w:type="dxa"/>
            <w:tcBorders>
              <w:top w:val="nil"/>
              <w:left w:val="nil"/>
              <w:bottom w:val="nil"/>
              <w:right w:val="nil"/>
            </w:tcBorders>
            <w:shd w:val="clear" w:color="auto" w:fill="EFF4F5"/>
            <w:vAlign w:val="bottom"/>
          </w:tcPr>
          <w:p w14:paraId="64CF2326" w14:textId="6C72571D" w:rsidR="00536F7D" w:rsidRPr="00F87231" w:rsidRDefault="00F87231" w:rsidP="00F87231">
            <w:pPr>
              <w:pStyle w:val="Tabletext"/>
              <w:keepNext/>
              <w:keepLines/>
              <w:jc w:val="right"/>
              <w:rPr>
                <w:b/>
                <w:bCs/>
              </w:rPr>
            </w:pPr>
            <w:r w:rsidRPr="00F87231">
              <w:rPr>
                <w:b/>
                <w:bCs/>
              </w:rPr>
              <w:t>111.2</w:t>
            </w:r>
          </w:p>
        </w:tc>
        <w:tc>
          <w:tcPr>
            <w:tcW w:w="1123" w:type="dxa"/>
            <w:tcBorders>
              <w:top w:val="nil"/>
              <w:left w:val="nil"/>
              <w:bottom w:val="nil"/>
              <w:right w:val="nil"/>
            </w:tcBorders>
            <w:vAlign w:val="bottom"/>
          </w:tcPr>
          <w:p w14:paraId="79845227" w14:textId="0BFF236C" w:rsidR="00536F7D" w:rsidRPr="00F87231" w:rsidRDefault="00F87231" w:rsidP="00F87231">
            <w:pPr>
              <w:pStyle w:val="Tabletext"/>
              <w:keepNext/>
              <w:keepLines/>
              <w:jc w:val="right"/>
              <w:rPr>
                <w:b/>
                <w:spacing w:val="-5"/>
              </w:rPr>
            </w:pPr>
            <w:r w:rsidRPr="00F87231">
              <w:rPr>
                <w:b/>
                <w:bCs/>
                <w:spacing w:val="-1"/>
              </w:rPr>
              <w:t>111</w:t>
            </w:r>
            <w:r w:rsidR="00536F7D" w:rsidRPr="00F87231">
              <w:rPr>
                <w:b/>
                <w:bCs/>
              </w:rPr>
              <w:t>.</w:t>
            </w:r>
            <w:r w:rsidRPr="00F87231">
              <w:rPr>
                <w:b/>
                <w:bCs/>
              </w:rPr>
              <w:t>6</w:t>
            </w:r>
          </w:p>
        </w:tc>
        <w:tc>
          <w:tcPr>
            <w:tcW w:w="818" w:type="dxa"/>
            <w:tcBorders>
              <w:top w:val="nil"/>
              <w:left w:val="nil"/>
              <w:bottom w:val="nil"/>
              <w:right w:val="nil"/>
            </w:tcBorders>
            <w:vAlign w:val="bottom"/>
          </w:tcPr>
          <w:p w14:paraId="64508AD7" w14:textId="4BBCE55D" w:rsidR="00536F7D" w:rsidRPr="00F87231" w:rsidRDefault="00F87231" w:rsidP="00F87231">
            <w:pPr>
              <w:pStyle w:val="Tabletext"/>
              <w:jc w:val="right"/>
              <w:rPr>
                <w:b/>
                <w:color w:val="auto"/>
              </w:rPr>
            </w:pPr>
            <w:r w:rsidRPr="00F87231">
              <w:rPr>
                <w:b/>
                <w:bCs/>
                <w:spacing w:val="-1"/>
              </w:rPr>
              <w:t>(0</w:t>
            </w:r>
            <w:r w:rsidR="00536F7D" w:rsidRPr="00F87231">
              <w:rPr>
                <w:b/>
                <w:bCs/>
              </w:rPr>
              <w:t>.</w:t>
            </w:r>
            <w:r w:rsidRPr="00F87231">
              <w:rPr>
                <w:b/>
                <w:bCs/>
              </w:rPr>
              <w:t>4</w:t>
            </w:r>
            <w:r w:rsidR="00536F7D" w:rsidRPr="00F87231">
              <w:rPr>
                <w:b/>
                <w:bCs/>
                <w:spacing w:val="-3"/>
              </w:rPr>
              <w:t>%</w:t>
            </w:r>
            <w:r w:rsidRPr="00F87231">
              <w:rPr>
                <w:b/>
                <w:bCs/>
                <w:spacing w:val="-3"/>
              </w:rPr>
              <w:t>)</w:t>
            </w:r>
          </w:p>
        </w:tc>
        <w:tc>
          <w:tcPr>
            <w:tcW w:w="882" w:type="dxa"/>
            <w:tcBorders>
              <w:top w:val="nil"/>
              <w:left w:val="nil"/>
              <w:bottom w:val="nil"/>
              <w:right w:val="nil"/>
            </w:tcBorders>
            <w:vAlign w:val="bottom"/>
          </w:tcPr>
          <w:p w14:paraId="00EB50DF" w14:textId="7360F45D" w:rsidR="00536F7D" w:rsidRPr="00F87231" w:rsidRDefault="00F87231" w:rsidP="00F87231">
            <w:pPr>
              <w:pStyle w:val="Tabletext"/>
              <w:jc w:val="right"/>
              <w:rPr>
                <w:b/>
                <w:color w:val="auto"/>
              </w:rPr>
            </w:pPr>
            <w:r>
              <w:rPr>
                <w:b/>
                <w:bCs/>
                <w:spacing w:val="-1"/>
              </w:rPr>
              <w:t>(3</w:t>
            </w:r>
            <w:r w:rsidR="00536F7D" w:rsidRPr="00F87231">
              <w:rPr>
                <w:b/>
                <w:bCs/>
              </w:rPr>
              <w:t>.</w:t>
            </w:r>
            <w:r>
              <w:rPr>
                <w:b/>
                <w:bCs/>
              </w:rPr>
              <w:t>3</w:t>
            </w:r>
            <w:r w:rsidR="00536F7D" w:rsidRPr="00F87231">
              <w:rPr>
                <w:b/>
                <w:bCs/>
              </w:rPr>
              <w:t>%</w:t>
            </w:r>
            <w:r>
              <w:rPr>
                <w:b/>
                <w:bCs/>
              </w:rPr>
              <w:t>)</w:t>
            </w:r>
          </w:p>
        </w:tc>
      </w:tr>
      <w:tr w:rsidR="00F87231" w:rsidRPr="00716EDB" w14:paraId="3763A452" w14:textId="77777777" w:rsidTr="002B6D8E">
        <w:tc>
          <w:tcPr>
            <w:tcW w:w="5332" w:type="dxa"/>
            <w:tcBorders>
              <w:top w:val="nil"/>
              <w:left w:val="nil"/>
              <w:bottom w:val="nil"/>
              <w:right w:val="nil"/>
            </w:tcBorders>
          </w:tcPr>
          <w:p w14:paraId="4E429903" w14:textId="3C747B67" w:rsidR="00F87231" w:rsidRPr="00536F7D" w:rsidRDefault="00F87231" w:rsidP="00536F7D">
            <w:pPr>
              <w:pStyle w:val="Tabletext"/>
              <w:rPr>
                <w:b/>
              </w:rPr>
            </w:pPr>
            <w:r>
              <w:rPr>
                <w:b/>
              </w:rPr>
              <w:t xml:space="preserve">Pro-forma profit after tax </w:t>
            </w:r>
            <w:r w:rsidRPr="00536F7D">
              <w:rPr>
                <w:b/>
                <w:vertAlign w:val="superscript"/>
              </w:rPr>
              <w:t>(4)</w:t>
            </w:r>
          </w:p>
        </w:tc>
        <w:tc>
          <w:tcPr>
            <w:tcW w:w="917" w:type="dxa"/>
            <w:tcBorders>
              <w:top w:val="nil"/>
              <w:left w:val="nil"/>
              <w:bottom w:val="nil"/>
              <w:right w:val="nil"/>
            </w:tcBorders>
            <w:shd w:val="clear" w:color="auto" w:fill="EFF4F5"/>
            <w:vAlign w:val="bottom"/>
          </w:tcPr>
          <w:p w14:paraId="6BF4D50A" w14:textId="5BAEF46F" w:rsidR="00F87231" w:rsidRPr="00F87231" w:rsidRDefault="00F87231" w:rsidP="00F87231">
            <w:pPr>
              <w:pStyle w:val="Tabletext"/>
              <w:keepNext/>
              <w:keepLines/>
              <w:jc w:val="right"/>
              <w:rPr>
                <w:b/>
                <w:bCs/>
              </w:rPr>
            </w:pPr>
            <w:r w:rsidRPr="00F87231">
              <w:rPr>
                <w:b/>
                <w:bCs/>
              </w:rPr>
              <w:t>73.0</w:t>
            </w:r>
          </w:p>
        </w:tc>
        <w:tc>
          <w:tcPr>
            <w:tcW w:w="1123" w:type="dxa"/>
            <w:tcBorders>
              <w:top w:val="nil"/>
              <w:left w:val="nil"/>
              <w:bottom w:val="nil"/>
              <w:right w:val="nil"/>
            </w:tcBorders>
            <w:vAlign w:val="bottom"/>
          </w:tcPr>
          <w:p w14:paraId="2A9DCF61" w14:textId="61E4343E" w:rsidR="00F87231" w:rsidRPr="00F87231" w:rsidRDefault="00F87231" w:rsidP="00A83745">
            <w:pPr>
              <w:pStyle w:val="Tabletext"/>
              <w:keepNext/>
              <w:keepLines/>
              <w:jc w:val="right"/>
              <w:rPr>
                <w:b/>
                <w:bCs/>
                <w:spacing w:val="-1"/>
              </w:rPr>
            </w:pPr>
            <w:r>
              <w:rPr>
                <w:b/>
                <w:bCs/>
                <w:spacing w:val="-1"/>
              </w:rPr>
              <w:t>71.6</w:t>
            </w:r>
          </w:p>
        </w:tc>
        <w:tc>
          <w:tcPr>
            <w:tcW w:w="818" w:type="dxa"/>
            <w:tcBorders>
              <w:top w:val="nil"/>
              <w:left w:val="nil"/>
              <w:bottom w:val="nil"/>
              <w:right w:val="nil"/>
            </w:tcBorders>
            <w:vAlign w:val="bottom"/>
          </w:tcPr>
          <w:p w14:paraId="032981B3" w14:textId="6744A2C3" w:rsidR="00F87231" w:rsidRPr="00F87231" w:rsidRDefault="00F87231" w:rsidP="002B6D8E">
            <w:pPr>
              <w:pStyle w:val="Tabletext"/>
              <w:jc w:val="right"/>
              <w:rPr>
                <w:b/>
                <w:bCs/>
              </w:rPr>
            </w:pPr>
            <w:r w:rsidRPr="00F87231">
              <w:rPr>
                <w:b/>
                <w:bCs/>
              </w:rPr>
              <w:t>2.0%</w:t>
            </w:r>
          </w:p>
        </w:tc>
        <w:tc>
          <w:tcPr>
            <w:tcW w:w="882" w:type="dxa"/>
            <w:tcBorders>
              <w:top w:val="nil"/>
              <w:left w:val="nil"/>
              <w:bottom w:val="nil"/>
              <w:right w:val="nil"/>
            </w:tcBorders>
            <w:vAlign w:val="bottom"/>
          </w:tcPr>
          <w:p w14:paraId="6A61721D" w14:textId="77777777" w:rsidR="00F87231" w:rsidRPr="00536F7D" w:rsidRDefault="00F87231" w:rsidP="002B6D8E">
            <w:pPr>
              <w:pStyle w:val="Tabletext"/>
              <w:jc w:val="right"/>
              <w:rPr>
                <w:b/>
                <w:color w:val="auto"/>
              </w:rPr>
            </w:pPr>
          </w:p>
        </w:tc>
      </w:tr>
      <w:tr w:rsidR="00536F7D" w:rsidRPr="00716EDB" w14:paraId="2B7C1365" w14:textId="77777777" w:rsidTr="002B6D8E">
        <w:tc>
          <w:tcPr>
            <w:tcW w:w="5332" w:type="dxa"/>
            <w:tcBorders>
              <w:top w:val="nil"/>
              <w:left w:val="nil"/>
              <w:bottom w:val="nil"/>
              <w:right w:val="nil"/>
            </w:tcBorders>
          </w:tcPr>
          <w:p w14:paraId="2F402178" w14:textId="459DE405" w:rsidR="00536F7D" w:rsidRPr="00536F7D" w:rsidRDefault="00536F7D" w:rsidP="00F87231">
            <w:pPr>
              <w:pStyle w:val="Tabletext"/>
              <w:rPr>
                <w:b/>
                <w:color w:val="auto"/>
              </w:rPr>
            </w:pPr>
            <w:r w:rsidRPr="00536F7D">
              <w:rPr>
                <w:b/>
              </w:rPr>
              <w:t>Adjusted</w:t>
            </w:r>
            <w:r w:rsidRPr="00536F7D">
              <w:rPr>
                <w:b/>
                <w:spacing w:val="-5"/>
              </w:rPr>
              <w:t>,</w:t>
            </w:r>
            <w:r w:rsidRPr="00536F7D">
              <w:rPr>
                <w:b/>
                <w:spacing w:val="6"/>
              </w:rPr>
              <w:t xml:space="preserve"> </w:t>
            </w:r>
            <w:r w:rsidRPr="00536F7D">
              <w:rPr>
                <w:b/>
              </w:rPr>
              <w:t>basic</w:t>
            </w:r>
            <w:r w:rsidRPr="00536F7D">
              <w:rPr>
                <w:b/>
                <w:spacing w:val="6"/>
              </w:rPr>
              <w:t xml:space="preserve"> </w:t>
            </w:r>
            <w:r w:rsidRPr="00536F7D">
              <w:rPr>
                <w:b/>
                <w:spacing w:val="-5"/>
              </w:rPr>
              <w:t>earnings</w:t>
            </w:r>
            <w:r w:rsidRPr="00536F7D">
              <w:rPr>
                <w:b/>
                <w:spacing w:val="7"/>
              </w:rPr>
              <w:t xml:space="preserve"> </w:t>
            </w:r>
            <w:r w:rsidRPr="00536F7D">
              <w:rPr>
                <w:b/>
                <w:spacing w:val="-3"/>
              </w:rPr>
              <w:t>per</w:t>
            </w:r>
            <w:r w:rsidRPr="00536F7D">
              <w:rPr>
                <w:b/>
                <w:spacing w:val="6"/>
              </w:rPr>
              <w:t xml:space="preserve"> </w:t>
            </w:r>
            <w:r w:rsidRPr="00536F7D">
              <w:rPr>
                <w:b/>
                <w:spacing w:val="-5"/>
              </w:rPr>
              <w:t>share</w:t>
            </w:r>
            <w:r w:rsidRPr="00536F7D">
              <w:rPr>
                <w:b/>
                <w:spacing w:val="-7"/>
              </w:rPr>
              <w:t>,</w:t>
            </w:r>
            <w:r w:rsidRPr="00536F7D">
              <w:rPr>
                <w:b/>
                <w:spacing w:val="7"/>
              </w:rPr>
              <w:t xml:space="preserve"> </w:t>
            </w:r>
            <w:r w:rsidRPr="00536F7D">
              <w:rPr>
                <w:b/>
                <w:spacing w:val="-3"/>
              </w:rPr>
              <w:t>pence</w:t>
            </w:r>
            <w:r w:rsidRPr="00536F7D">
              <w:rPr>
                <w:b/>
                <w:spacing w:val="6"/>
              </w:rPr>
              <w:t xml:space="preserve"> </w:t>
            </w:r>
            <w:r w:rsidRPr="00536F7D">
              <w:rPr>
                <w:b/>
                <w:vertAlign w:val="superscript"/>
              </w:rPr>
              <w:t>(</w:t>
            </w:r>
            <w:r w:rsidR="00F87231">
              <w:rPr>
                <w:b/>
                <w:vertAlign w:val="superscript"/>
              </w:rPr>
              <w:t>5</w:t>
            </w:r>
            <w:r w:rsidRPr="00536F7D">
              <w:rPr>
                <w:b/>
                <w:vertAlign w:val="superscript"/>
              </w:rPr>
              <w:t>)</w:t>
            </w:r>
          </w:p>
        </w:tc>
        <w:tc>
          <w:tcPr>
            <w:tcW w:w="917" w:type="dxa"/>
            <w:tcBorders>
              <w:top w:val="nil"/>
              <w:left w:val="nil"/>
              <w:bottom w:val="nil"/>
              <w:right w:val="nil"/>
            </w:tcBorders>
            <w:shd w:val="clear" w:color="auto" w:fill="EFF4F5"/>
            <w:vAlign w:val="bottom"/>
          </w:tcPr>
          <w:p w14:paraId="4A50BE21" w14:textId="6963FD3E" w:rsidR="00536F7D" w:rsidRPr="00F87231" w:rsidRDefault="00F87231" w:rsidP="00F87231">
            <w:pPr>
              <w:pStyle w:val="Tabletext"/>
              <w:keepNext/>
              <w:keepLines/>
              <w:jc w:val="right"/>
              <w:rPr>
                <w:b/>
                <w:bCs/>
              </w:rPr>
            </w:pPr>
            <w:r w:rsidRPr="00F87231">
              <w:rPr>
                <w:b/>
                <w:bCs/>
              </w:rPr>
              <w:t>18.3</w:t>
            </w:r>
          </w:p>
        </w:tc>
        <w:tc>
          <w:tcPr>
            <w:tcW w:w="1123" w:type="dxa"/>
            <w:tcBorders>
              <w:top w:val="nil"/>
              <w:left w:val="nil"/>
              <w:bottom w:val="nil"/>
              <w:right w:val="nil"/>
            </w:tcBorders>
            <w:vAlign w:val="bottom"/>
          </w:tcPr>
          <w:p w14:paraId="169ACC8C" w14:textId="3C42CA9F" w:rsidR="00536F7D" w:rsidRPr="00F87231" w:rsidRDefault="00536F7D" w:rsidP="00F87231">
            <w:pPr>
              <w:pStyle w:val="Tabletext"/>
              <w:keepNext/>
              <w:keepLines/>
              <w:jc w:val="right"/>
              <w:rPr>
                <w:b/>
                <w:bCs/>
                <w:spacing w:val="-1"/>
              </w:rPr>
            </w:pPr>
            <w:r w:rsidRPr="00F87231">
              <w:rPr>
                <w:b/>
                <w:bCs/>
                <w:spacing w:val="-1"/>
              </w:rPr>
              <w:t>1</w:t>
            </w:r>
            <w:r w:rsidR="00F87231">
              <w:rPr>
                <w:b/>
                <w:bCs/>
                <w:spacing w:val="-1"/>
              </w:rPr>
              <w:t>7</w:t>
            </w:r>
            <w:r w:rsidRPr="00F87231">
              <w:rPr>
                <w:b/>
                <w:bCs/>
                <w:spacing w:val="-1"/>
              </w:rPr>
              <w:t>.</w:t>
            </w:r>
            <w:r w:rsidR="00F87231">
              <w:rPr>
                <w:b/>
                <w:bCs/>
                <w:spacing w:val="-1"/>
              </w:rPr>
              <w:t>9</w:t>
            </w:r>
          </w:p>
        </w:tc>
        <w:tc>
          <w:tcPr>
            <w:tcW w:w="818" w:type="dxa"/>
            <w:tcBorders>
              <w:top w:val="nil"/>
              <w:left w:val="nil"/>
              <w:bottom w:val="nil"/>
              <w:right w:val="nil"/>
            </w:tcBorders>
            <w:vAlign w:val="bottom"/>
          </w:tcPr>
          <w:p w14:paraId="4BA5DCD8" w14:textId="1CC775BE" w:rsidR="00536F7D" w:rsidRPr="00F87231" w:rsidRDefault="00F87231" w:rsidP="002B6D8E">
            <w:pPr>
              <w:pStyle w:val="Tabletext"/>
              <w:jc w:val="right"/>
              <w:rPr>
                <w:b/>
                <w:bCs/>
              </w:rPr>
            </w:pPr>
            <w:r w:rsidRPr="00F87231">
              <w:rPr>
                <w:b/>
                <w:bCs/>
              </w:rPr>
              <w:t>2.2%</w:t>
            </w:r>
          </w:p>
        </w:tc>
        <w:tc>
          <w:tcPr>
            <w:tcW w:w="882" w:type="dxa"/>
            <w:tcBorders>
              <w:top w:val="nil"/>
              <w:left w:val="nil"/>
              <w:bottom w:val="nil"/>
              <w:right w:val="nil"/>
            </w:tcBorders>
            <w:vAlign w:val="bottom"/>
          </w:tcPr>
          <w:p w14:paraId="351616F9" w14:textId="77777777" w:rsidR="00536F7D" w:rsidRPr="00536F7D" w:rsidRDefault="00536F7D" w:rsidP="002B6D8E">
            <w:pPr>
              <w:pStyle w:val="Tabletext"/>
              <w:jc w:val="right"/>
              <w:rPr>
                <w:b/>
                <w:color w:val="auto"/>
              </w:rPr>
            </w:pPr>
          </w:p>
        </w:tc>
      </w:tr>
      <w:tr w:rsidR="00536F7D" w:rsidRPr="00716EDB" w14:paraId="2B01C4DF" w14:textId="77777777" w:rsidTr="002B6D8E">
        <w:tc>
          <w:tcPr>
            <w:tcW w:w="5332" w:type="dxa"/>
            <w:tcBorders>
              <w:top w:val="nil"/>
              <w:left w:val="nil"/>
              <w:bottom w:val="nil"/>
              <w:right w:val="nil"/>
            </w:tcBorders>
          </w:tcPr>
          <w:p w14:paraId="5200C15D" w14:textId="70771EB8" w:rsidR="00536F7D" w:rsidRPr="00B2361E" w:rsidRDefault="00F82B2D" w:rsidP="00F82B2D">
            <w:pPr>
              <w:pStyle w:val="Tabletext"/>
              <w:rPr>
                <w:color w:val="auto"/>
              </w:rPr>
            </w:pPr>
            <w:r>
              <w:rPr>
                <w:lang w:val="en-US" w:eastAsia="nl-NL"/>
              </w:rPr>
              <w:t>Total d</w:t>
            </w:r>
            <w:r w:rsidRPr="00587138">
              <w:rPr>
                <w:lang w:val="en-US" w:eastAsia="nl-NL"/>
              </w:rPr>
              <w:t>ividend</w:t>
            </w:r>
            <w:r>
              <w:rPr>
                <w:lang w:val="en-US" w:eastAsia="nl-NL"/>
              </w:rPr>
              <w:t xml:space="preserve"> paid / proposed per share</w:t>
            </w:r>
            <w:r w:rsidRPr="00B2361E">
              <w:rPr>
                <w:spacing w:val="-7"/>
              </w:rPr>
              <w:t>,</w:t>
            </w:r>
            <w:r w:rsidRPr="00B2361E">
              <w:rPr>
                <w:spacing w:val="-9"/>
              </w:rPr>
              <w:t xml:space="preserve"> </w:t>
            </w:r>
            <w:r w:rsidRPr="00B2361E">
              <w:rPr>
                <w:spacing w:val="-3"/>
              </w:rPr>
              <w:t>p</w:t>
            </w:r>
            <w:r w:rsidRPr="00B2361E">
              <w:t>e</w:t>
            </w:r>
            <w:r w:rsidRPr="00B2361E">
              <w:rPr>
                <w:spacing w:val="-3"/>
              </w:rPr>
              <w:t>nc</w:t>
            </w:r>
            <w:r w:rsidRPr="00B2361E">
              <w:t>e</w:t>
            </w:r>
            <w:r>
              <w:t xml:space="preserve"> </w:t>
            </w:r>
            <w:r w:rsidR="00F87231" w:rsidRPr="00F87231">
              <w:rPr>
                <w:vertAlign w:val="superscript"/>
              </w:rPr>
              <w:t>(</w:t>
            </w:r>
            <w:r w:rsidR="00F87231">
              <w:rPr>
                <w:vertAlign w:val="superscript"/>
              </w:rPr>
              <w:t>6</w:t>
            </w:r>
            <w:r w:rsidR="00F87231" w:rsidRPr="00F87231">
              <w:rPr>
                <w:vertAlign w:val="superscript"/>
              </w:rPr>
              <w:t>)</w:t>
            </w:r>
          </w:p>
        </w:tc>
        <w:tc>
          <w:tcPr>
            <w:tcW w:w="917" w:type="dxa"/>
            <w:tcBorders>
              <w:top w:val="nil"/>
              <w:left w:val="nil"/>
              <w:bottom w:val="nil"/>
              <w:right w:val="nil"/>
            </w:tcBorders>
            <w:shd w:val="clear" w:color="auto" w:fill="EFF4F5"/>
            <w:vAlign w:val="bottom"/>
          </w:tcPr>
          <w:p w14:paraId="0206E50E" w14:textId="6D25F680" w:rsidR="00536F7D" w:rsidRPr="00C23CC6" w:rsidRDefault="001267FF" w:rsidP="001267FF">
            <w:pPr>
              <w:pStyle w:val="Tabletext"/>
              <w:jc w:val="right"/>
              <w:rPr>
                <w:b/>
                <w:bCs/>
              </w:rPr>
            </w:pPr>
            <w:r>
              <w:rPr>
                <w:b/>
                <w:bCs/>
              </w:rPr>
              <w:t>3</w:t>
            </w:r>
            <w:r w:rsidR="00F87231">
              <w:rPr>
                <w:b/>
                <w:bCs/>
              </w:rPr>
              <w:t>.</w:t>
            </w:r>
            <w:r>
              <w:rPr>
                <w:b/>
                <w:bCs/>
              </w:rPr>
              <w:t>7</w:t>
            </w:r>
          </w:p>
        </w:tc>
        <w:tc>
          <w:tcPr>
            <w:tcW w:w="1123" w:type="dxa"/>
            <w:tcBorders>
              <w:top w:val="nil"/>
              <w:left w:val="nil"/>
              <w:bottom w:val="nil"/>
              <w:right w:val="nil"/>
            </w:tcBorders>
            <w:vAlign w:val="bottom"/>
          </w:tcPr>
          <w:p w14:paraId="5D8DFC83" w14:textId="3761C949" w:rsidR="00536F7D" w:rsidRPr="00B2361E" w:rsidRDefault="00536F7D" w:rsidP="00A83745">
            <w:pPr>
              <w:pStyle w:val="Tabletext"/>
              <w:jc w:val="right"/>
              <w:rPr>
                <w:color w:val="auto"/>
              </w:rPr>
            </w:pPr>
            <w:r>
              <w:t>1.8</w:t>
            </w:r>
          </w:p>
        </w:tc>
        <w:tc>
          <w:tcPr>
            <w:tcW w:w="818" w:type="dxa"/>
            <w:tcBorders>
              <w:top w:val="nil"/>
              <w:left w:val="nil"/>
              <w:bottom w:val="nil"/>
              <w:right w:val="nil"/>
            </w:tcBorders>
            <w:vAlign w:val="bottom"/>
          </w:tcPr>
          <w:p w14:paraId="2B1D10CD" w14:textId="49CA5ACB" w:rsidR="00536F7D" w:rsidRPr="00F87231" w:rsidRDefault="001267FF" w:rsidP="001267FF">
            <w:pPr>
              <w:pStyle w:val="Tabletext"/>
              <w:jc w:val="right"/>
              <w:rPr>
                <w:bCs/>
              </w:rPr>
            </w:pPr>
            <w:r>
              <w:rPr>
                <w:bCs/>
              </w:rPr>
              <w:t>105</w:t>
            </w:r>
            <w:r w:rsidR="00F87231" w:rsidRPr="00F87231">
              <w:rPr>
                <w:bCs/>
              </w:rPr>
              <w:t>.</w:t>
            </w:r>
            <w:r>
              <w:rPr>
                <w:bCs/>
              </w:rPr>
              <w:t>6</w:t>
            </w:r>
            <w:r w:rsidR="00F87231" w:rsidRPr="00F87231">
              <w:rPr>
                <w:bCs/>
              </w:rPr>
              <w:t>%</w:t>
            </w:r>
          </w:p>
        </w:tc>
        <w:tc>
          <w:tcPr>
            <w:tcW w:w="882" w:type="dxa"/>
            <w:tcBorders>
              <w:top w:val="nil"/>
              <w:left w:val="nil"/>
              <w:bottom w:val="nil"/>
              <w:right w:val="nil"/>
            </w:tcBorders>
            <w:vAlign w:val="bottom"/>
          </w:tcPr>
          <w:p w14:paraId="151A3F79" w14:textId="77777777" w:rsidR="00536F7D" w:rsidRPr="00B2361E" w:rsidRDefault="00536F7D" w:rsidP="002B6D8E">
            <w:pPr>
              <w:pStyle w:val="Tabletext"/>
              <w:jc w:val="right"/>
              <w:rPr>
                <w:color w:val="auto"/>
              </w:rPr>
            </w:pPr>
          </w:p>
        </w:tc>
      </w:tr>
      <w:tr w:rsidR="00536F7D" w:rsidRPr="00716EDB" w14:paraId="5D4424ED" w14:textId="77777777" w:rsidTr="002B6D8E">
        <w:tc>
          <w:tcPr>
            <w:tcW w:w="5332" w:type="dxa"/>
            <w:tcBorders>
              <w:top w:val="nil"/>
              <w:left w:val="nil"/>
              <w:bottom w:val="nil"/>
              <w:right w:val="nil"/>
            </w:tcBorders>
          </w:tcPr>
          <w:p w14:paraId="7DEA7686" w14:textId="2786B21A" w:rsidR="00536F7D" w:rsidRPr="00B2361E" w:rsidRDefault="00D90AA8" w:rsidP="00536F7D">
            <w:pPr>
              <w:pStyle w:val="Tabletext"/>
              <w:rPr>
                <w:color w:val="auto"/>
              </w:rPr>
            </w:pPr>
            <w:r w:rsidRPr="00587138">
              <w:rPr>
                <w:lang w:val="en-US" w:eastAsia="nl-NL"/>
              </w:rPr>
              <w:t>Operating cash flow</w:t>
            </w:r>
            <w:r>
              <w:rPr>
                <w:lang w:val="en-US" w:eastAsia="nl-NL"/>
              </w:rPr>
              <w:t xml:space="preserve">, before exceptional items </w:t>
            </w:r>
            <w:r w:rsidR="00FC5C58">
              <w:rPr>
                <w:lang w:val="en-US" w:eastAsia="nl-NL"/>
              </w:rPr>
              <w:t xml:space="preserve">and income tax </w:t>
            </w:r>
            <w:r w:rsidRPr="00A52A94">
              <w:rPr>
                <w:vertAlign w:val="superscript"/>
              </w:rPr>
              <w:t>(7)</w:t>
            </w:r>
          </w:p>
        </w:tc>
        <w:tc>
          <w:tcPr>
            <w:tcW w:w="917" w:type="dxa"/>
            <w:tcBorders>
              <w:top w:val="nil"/>
              <w:left w:val="nil"/>
              <w:bottom w:val="nil"/>
              <w:right w:val="nil"/>
            </w:tcBorders>
            <w:shd w:val="clear" w:color="auto" w:fill="EFF4F5"/>
            <w:vAlign w:val="bottom"/>
          </w:tcPr>
          <w:p w14:paraId="26D1F8E1" w14:textId="567E7746" w:rsidR="00536F7D" w:rsidRPr="00E86B07" w:rsidRDefault="00E86B07" w:rsidP="00FC5C58">
            <w:pPr>
              <w:pStyle w:val="Tabletext"/>
              <w:keepNext/>
              <w:keepLines/>
              <w:jc w:val="right"/>
              <w:rPr>
                <w:b/>
                <w:bCs/>
              </w:rPr>
            </w:pPr>
            <w:r w:rsidRPr="00E86B07">
              <w:rPr>
                <w:b/>
                <w:bCs/>
              </w:rPr>
              <w:t>1</w:t>
            </w:r>
            <w:r w:rsidR="00FC5C58">
              <w:rPr>
                <w:b/>
                <w:bCs/>
              </w:rPr>
              <w:t>66</w:t>
            </w:r>
            <w:r w:rsidRPr="00E86B07">
              <w:rPr>
                <w:b/>
                <w:bCs/>
              </w:rPr>
              <w:t>.</w:t>
            </w:r>
            <w:r w:rsidR="00FC5C58">
              <w:rPr>
                <w:b/>
                <w:bCs/>
              </w:rPr>
              <w:t>7</w:t>
            </w:r>
          </w:p>
        </w:tc>
        <w:tc>
          <w:tcPr>
            <w:tcW w:w="1123" w:type="dxa"/>
            <w:tcBorders>
              <w:top w:val="nil"/>
              <w:left w:val="nil"/>
              <w:bottom w:val="nil"/>
              <w:right w:val="nil"/>
            </w:tcBorders>
            <w:vAlign w:val="bottom"/>
          </w:tcPr>
          <w:p w14:paraId="60458F80" w14:textId="73596FF6" w:rsidR="00536F7D" w:rsidRPr="00E86B07" w:rsidRDefault="00536F7D" w:rsidP="00D90AA8">
            <w:pPr>
              <w:pStyle w:val="Tabletext"/>
              <w:jc w:val="right"/>
              <w:rPr>
                <w:color w:val="auto"/>
              </w:rPr>
            </w:pPr>
            <w:r w:rsidRPr="00E86B07">
              <w:rPr>
                <w:bCs/>
                <w:u w:color="76923C"/>
              </w:rPr>
              <w:t>1</w:t>
            </w:r>
            <w:r w:rsidR="00D90AA8">
              <w:rPr>
                <w:bCs/>
                <w:u w:color="76923C"/>
              </w:rPr>
              <w:t>64</w:t>
            </w:r>
            <w:r w:rsidRPr="00E86B07">
              <w:rPr>
                <w:bCs/>
                <w:u w:color="76923C"/>
              </w:rPr>
              <w:t>.</w:t>
            </w:r>
            <w:r w:rsidR="00D90AA8">
              <w:rPr>
                <w:bCs/>
                <w:u w:color="76923C"/>
              </w:rPr>
              <w:t>2</w:t>
            </w:r>
          </w:p>
        </w:tc>
        <w:tc>
          <w:tcPr>
            <w:tcW w:w="818" w:type="dxa"/>
            <w:tcBorders>
              <w:top w:val="nil"/>
              <w:left w:val="nil"/>
              <w:bottom w:val="nil"/>
              <w:right w:val="nil"/>
            </w:tcBorders>
            <w:vAlign w:val="bottom"/>
          </w:tcPr>
          <w:p w14:paraId="679F1171" w14:textId="4EFEFEED" w:rsidR="00536F7D" w:rsidRPr="00E86B07" w:rsidRDefault="00FC5C58" w:rsidP="00FC5C58">
            <w:pPr>
              <w:pStyle w:val="Tabletext"/>
              <w:jc w:val="right"/>
              <w:rPr>
                <w:color w:val="auto"/>
              </w:rPr>
            </w:pPr>
            <w:r>
              <w:rPr>
                <w:bCs/>
                <w:spacing w:val="-1"/>
              </w:rPr>
              <w:t>1</w:t>
            </w:r>
            <w:r w:rsidR="00D90AA8">
              <w:rPr>
                <w:bCs/>
                <w:spacing w:val="-1"/>
              </w:rPr>
              <w:t>.</w:t>
            </w:r>
            <w:r>
              <w:rPr>
                <w:bCs/>
                <w:spacing w:val="-1"/>
              </w:rPr>
              <w:t>5</w:t>
            </w:r>
            <w:r w:rsidR="00536F7D" w:rsidRPr="00E86B07">
              <w:rPr>
                <w:spacing w:val="-8"/>
              </w:rPr>
              <w:t>%</w:t>
            </w:r>
          </w:p>
        </w:tc>
        <w:tc>
          <w:tcPr>
            <w:tcW w:w="882" w:type="dxa"/>
            <w:tcBorders>
              <w:top w:val="nil"/>
              <w:left w:val="nil"/>
              <w:bottom w:val="nil"/>
              <w:right w:val="nil"/>
            </w:tcBorders>
            <w:vAlign w:val="bottom"/>
          </w:tcPr>
          <w:p w14:paraId="5C6D0420" w14:textId="77777777" w:rsidR="00536F7D" w:rsidRPr="00B2361E" w:rsidRDefault="00536F7D" w:rsidP="002B6D8E">
            <w:pPr>
              <w:pStyle w:val="Tabletext"/>
              <w:jc w:val="right"/>
              <w:rPr>
                <w:color w:val="auto"/>
              </w:rPr>
            </w:pPr>
          </w:p>
        </w:tc>
      </w:tr>
      <w:tr w:rsidR="00536F7D" w:rsidRPr="00716EDB" w14:paraId="3A640C80" w14:textId="77777777" w:rsidTr="002B6D8E">
        <w:tc>
          <w:tcPr>
            <w:tcW w:w="5332" w:type="dxa"/>
            <w:tcBorders>
              <w:top w:val="nil"/>
              <w:left w:val="nil"/>
              <w:bottom w:val="nil"/>
              <w:right w:val="nil"/>
            </w:tcBorders>
          </w:tcPr>
          <w:p w14:paraId="1A49881E" w14:textId="4C7E2E88" w:rsidR="00536F7D" w:rsidRPr="00B2361E" w:rsidRDefault="00536F7D" w:rsidP="00FF00E5">
            <w:pPr>
              <w:pStyle w:val="Tabletext"/>
              <w:rPr>
                <w:color w:val="auto"/>
              </w:rPr>
            </w:pPr>
            <w:r w:rsidRPr="00FF00E5">
              <w:t xml:space="preserve">Capital investments </w:t>
            </w:r>
            <w:r w:rsidRPr="00B2361E">
              <w:t>and</w:t>
            </w:r>
            <w:r w:rsidRPr="00FF00E5">
              <w:t xml:space="preserve"> acquisitions</w:t>
            </w:r>
          </w:p>
        </w:tc>
        <w:tc>
          <w:tcPr>
            <w:tcW w:w="917" w:type="dxa"/>
            <w:tcBorders>
              <w:top w:val="nil"/>
              <w:left w:val="nil"/>
              <w:bottom w:val="nil"/>
              <w:right w:val="nil"/>
            </w:tcBorders>
            <w:shd w:val="clear" w:color="auto" w:fill="EFF4F5"/>
            <w:vAlign w:val="bottom"/>
          </w:tcPr>
          <w:p w14:paraId="11F7AF95" w14:textId="243D7A65" w:rsidR="00536F7D" w:rsidRPr="00E86B07" w:rsidRDefault="00E86B07" w:rsidP="00E86B07">
            <w:pPr>
              <w:pStyle w:val="Tabletext"/>
              <w:keepNext/>
              <w:keepLines/>
              <w:jc w:val="right"/>
              <w:rPr>
                <w:b/>
                <w:bCs/>
              </w:rPr>
            </w:pPr>
            <w:r w:rsidRPr="00E86B07">
              <w:rPr>
                <w:b/>
                <w:bCs/>
              </w:rPr>
              <w:t>109.5</w:t>
            </w:r>
          </w:p>
        </w:tc>
        <w:tc>
          <w:tcPr>
            <w:tcW w:w="1123" w:type="dxa"/>
            <w:tcBorders>
              <w:top w:val="nil"/>
              <w:left w:val="nil"/>
              <w:bottom w:val="nil"/>
              <w:right w:val="nil"/>
            </w:tcBorders>
            <w:vAlign w:val="bottom"/>
          </w:tcPr>
          <w:p w14:paraId="6617A1F2" w14:textId="4E41B235" w:rsidR="00536F7D" w:rsidRPr="00B2361E" w:rsidRDefault="00536F7D" w:rsidP="00A83745">
            <w:pPr>
              <w:pStyle w:val="Tabletext"/>
              <w:jc w:val="right"/>
              <w:rPr>
                <w:color w:val="auto"/>
              </w:rPr>
            </w:pPr>
            <w:r>
              <w:rPr>
                <w:bCs/>
                <w:u w:color="76923C"/>
              </w:rPr>
              <w:t>105.1</w:t>
            </w:r>
          </w:p>
        </w:tc>
        <w:tc>
          <w:tcPr>
            <w:tcW w:w="818" w:type="dxa"/>
            <w:tcBorders>
              <w:top w:val="nil"/>
              <w:left w:val="nil"/>
              <w:bottom w:val="nil"/>
              <w:right w:val="nil"/>
            </w:tcBorders>
            <w:vAlign w:val="bottom"/>
          </w:tcPr>
          <w:p w14:paraId="33ACB14F" w14:textId="5BC9C614" w:rsidR="00536F7D" w:rsidRPr="00BC4DF7" w:rsidRDefault="00BC4DF7" w:rsidP="002B6D8E">
            <w:pPr>
              <w:pStyle w:val="Tabletext"/>
              <w:jc w:val="right"/>
              <w:rPr>
                <w:bCs/>
                <w:spacing w:val="-1"/>
              </w:rPr>
            </w:pPr>
            <w:r w:rsidRPr="00BC4DF7">
              <w:rPr>
                <w:bCs/>
                <w:spacing w:val="-1"/>
              </w:rPr>
              <w:t>4.2%</w:t>
            </w:r>
          </w:p>
        </w:tc>
        <w:tc>
          <w:tcPr>
            <w:tcW w:w="882" w:type="dxa"/>
            <w:tcBorders>
              <w:top w:val="nil"/>
              <w:left w:val="nil"/>
              <w:bottom w:val="nil"/>
              <w:right w:val="nil"/>
            </w:tcBorders>
            <w:vAlign w:val="bottom"/>
          </w:tcPr>
          <w:p w14:paraId="031AE8DD" w14:textId="77777777" w:rsidR="00536F7D" w:rsidRPr="00B2361E" w:rsidRDefault="00536F7D" w:rsidP="002B6D8E">
            <w:pPr>
              <w:pStyle w:val="Tabletext"/>
              <w:jc w:val="right"/>
              <w:rPr>
                <w:color w:val="auto"/>
              </w:rPr>
            </w:pPr>
          </w:p>
        </w:tc>
      </w:tr>
      <w:tr w:rsidR="00536F7D" w:rsidRPr="00716EDB" w14:paraId="5460673B" w14:textId="77777777" w:rsidTr="002B6D8E">
        <w:tc>
          <w:tcPr>
            <w:tcW w:w="5332" w:type="dxa"/>
            <w:tcBorders>
              <w:top w:val="nil"/>
              <w:left w:val="nil"/>
              <w:bottom w:val="single" w:sz="4" w:space="0" w:color="93B7BB"/>
              <w:right w:val="nil"/>
            </w:tcBorders>
          </w:tcPr>
          <w:p w14:paraId="2B405668" w14:textId="13ABF65F" w:rsidR="00536F7D" w:rsidRPr="00B2361E" w:rsidRDefault="00536F7D" w:rsidP="00FF00E5">
            <w:pPr>
              <w:pStyle w:val="Tabletext"/>
              <w:rPr>
                <w:b/>
                <w:bCs/>
                <w:color w:val="auto"/>
              </w:rPr>
            </w:pPr>
            <w:r w:rsidRPr="00FF00E5">
              <w:rPr>
                <w:b/>
                <w:bCs/>
              </w:rPr>
              <w:t>Net debt at the year end</w:t>
            </w:r>
          </w:p>
        </w:tc>
        <w:tc>
          <w:tcPr>
            <w:tcW w:w="917" w:type="dxa"/>
            <w:tcBorders>
              <w:top w:val="nil"/>
              <w:left w:val="nil"/>
              <w:bottom w:val="single" w:sz="4" w:space="0" w:color="93B7BB"/>
              <w:right w:val="nil"/>
            </w:tcBorders>
            <w:shd w:val="clear" w:color="auto" w:fill="EFF4F5"/>
            <w:vAlign w:val="bottom"/>
          </w:tcPr>
          <w:p w14:paraId="5E3F9E55" w14:textId="658D4157" w:rsidR="00536F7D" w:rsidRPr="00E86B07" w:rsidRDefault="00E86B07" w:rsidP="00E86B07">
            <w:pPr>
              <w:pStyle w:val="Tabletext"/>
              <w:keepNext/>
              <w:keepLines/>
              <w:jc w:val="right"/>
              <w:rPr>
                <w:b/>
                <w:bCs/>
              </w:rPr>
            </w:pPr>
            <w:r w:rsidRPr="00E86B07">
              <w:rPr>
                <w:b/>
                <w:bCs/>
              </w:rPr>
              <w:t>419.5</w:t>
            </w:r>
          </w:p>
        </w:tc>
        <w:tc>
          <w:tcPr>
            <w:tcW w:w="1123" w:type="dxa"/>
            <w:tcBorders>
              <w:top w:val="nil"/>
              <w:left w:val="nil"/>
              <w:bottom w:val="single" w:sz="4" w:space="0" w:color="93B7BB"/>
              <w:right w:val="nil"/>
            </w:tcBorders>
            <w:shd w:val="clear" w:color="auto" w:fill="auto"/>
            <w:vAlign w:val="bottom"/>
          </w:tcPr>
          <w:p w14:paraId="49AA18D1" w14:textId="4EB54FC8" w:rsidR="00536F7D" w:rsidRPr="00B2361E" w:rsidRDefault="00536F7D" w:rsidP="00A83745">
            <w:pPr>
              <w:pStyle w:val="Tabletext"/>
              <w:jc w:val="right"/>
              <w:rPr>
                <w:b/>
                <w:bCs/>
                <w:color w:val="auto"/>
              </w:rPr>
            </w:pPr>
            <w:r>
              <w:rPr>
                <w:b/>
                <w:bCs/>
                <w:u w:color="76923C"/>
              </w:rPr>
              <w:t>424.3</w:t>
            </w:r>
          </w:p>
        </w:tc>
        <w:tc>
          <w:tcPr>
            <w:tcW w:w="818" w:type="dxa"/>
            <w:tcBorders>
              <w:top w:val="nil"/>
              <w:left w:val="nil"/>
              <w:bottom w:val="single" w:sz="4" w:space="0" w:color="93B7BB"/>
              <w:right w:val="nil"/>
            </w:tcBorders>
            <w:vAlign w:val="bottom"/>
          </w:tcPr>
          <w:p w14:paraId="1D86E005" w14:textId="10ED3715" w:rsidR="00536F7D" w:rsidRPr="00BC4DF7" w:rsidRDefault="00BC4DF7" w:rsidP="002B6D8E">
            <w:pPr>
              <w:pStyle w:val="Tabletext"/>
              <w:jc w:val="right"/>
              <w:rPr>
                <w:b/>
                <w:bCs/>
              </w:rPr>
            </w:pPr>
            <w:r w:rsidRPr="00BC4DF7">
              <w:rPr>
                <w:b/>
                <w:bCs/>
              </w:rPr>
              <w:t>(1.1%)</w:t>
            </w:r>
          </w:p>
        </w:tc>
        <w:tc>
          <w:tcPr>
            <w:tcW w:w="882" w:type="dxa"/>
            <w:tcBorders>
              <w:top w:val="nil"/>
              <w:left w:val="nil"/>
              <w:bottom w:val="single" w:sz="4" w:space="0" w:color="93B7BB"/>
              <w:right w:val="nil"/>
            </w:tcBorders>
            <w:vAlign w:val="bottom"/>
          </w:tcPr>
          <w:p w14:paraId="5A4CEE57" w14:textId="77777777" w:rsidR="00536F7D" w:rsidRPr="00B2361E" w:rsidRDefault="00536F7D" w:rsidP="002B6D8E">
            <w:pPr>
              <w:pStyle w:val="Tabletext"/>
              <w:jc w:val="right"/>
              <w:rPr>
                <w:b/>
                <w:bCs/>
                <w:color w:val="auto"/>
              </w:rPr>
            </w:pPr>
          </w:p>
        </w:tc>
      </w:tr>
    </w:tbl>
    <w:p w14:paraId="51F23190" w14:textId="77777777" w:rsidR="0030148F" w:rsidRDefault="0030148F" w:rsidP="0030148F">
      <w:pPr>
        <w:pStyle w:val="Footnote"/>
        <w:jc w:val="both"/>
      </w:pPr>
    </w:p>
    <w:p w14:paraId="2321DC1B" w14:textId="77777777" w:rsidR="00E86B07" w:rsidRDefault="00E86B07" w:rsidP="00E86B07">
      <w:pPr>
        <w:pStyle w:val="Footnote"/>
        <w:spacing w:line="240" w:lineRule="auto"/>
        <w:jc w:val="both"/>
        <w:rPr>
          <w:lang w:eastAsia="en-GB"/>
        </w:rPr>
      </w:pPr>
      <w:r>
        <w:rPr>
          <w:lang w:eastAsia="en-GB"/>
        </w:rPr>
        <w:t>1</w:t>
      </w:r>
      <w:r>
        <w:rPr>
          <w:lang w:eastAsia="en-GB"/>
        </w:rPr>
        <w:tab/>
        <w:t>Excludes</w:t>
      </w:r>
      <w:r w:rsidRPr="007164CD">
        <w:rPr>
          <w:lang w:eastAsia="en-GB"/>
        </w:rPr>
        <w:t xml:space="preserve"> </w:t>
      </w:r>
      <w:r>
        <w:rPr>
          <w:lang w:eastAsia="en-GB"/>
        </w:rPr>
        <w:t>the impact of Spire St Saviour’s Hospital closed in September 2015, St Anthony’s Hospital acquired on 22 May 2014, and the disposal of trade and assets of the fertility business on 15 August 2014 (referred to as ‘Underlying’ in this announcement).</w:t>
      </w:r>
    </w:p>
    <w:p w14:paraId="6505CBF3" w14:textId="77777777" w:rsidR="00E86B07" w:rsidRDefault="00E86B07" w:rsidP="00E86B07">
      <w:pPr>
        <w:pStyle w:val="Footnote"/>
        <w:spacing w:line="240" w:lineRule="auto"/>
        <w:jc w:val="both"/>
        <w:rPr>
          <w:lang w:eastAsia="en-GB"/>
        </w:rPr>
      </w:pPr>
      <w:r>
        <w:rPr>
          <w:lang w:eastAsia="en-GB"/>
        </w:rPr>
        <w:t>2</w:t>
      </w:r>
      <w:r>
        <w:rPr>
          <w:lang w:eastAsia="en-GB"/>
        </w:rPr>
        <w:tab/>
      </w:r>
      <w:r w:rsidRPr="00B2361E">
        <w:t>Operating profit, adjusted to add back depreciation and exceptional items</w:t>
      </w:r>
      <w:r>
        <w:t>,</w:t>
      </w:r>
      <w:r w:rsidRPr="00B2361E">
        <w:t xml:space="preserve"> referred to hereafter as ‘Adjusted EBITDA’</w:t>
      </w:r>
      <w:r>
        <w:t xml:space="preserve"> (2014 EBITDA </w:t>
      </w:r>
      <w:r w:rsidRPr="00D244FC">
        <w:rPr>
          <w:lang w:eastAsia="en-GB"/>
        </w:rPr>
        <w:t>adjusted to</w:t>
      </w:r>
      <w:r>
        <w:rPr>
          <w:lang w:eastAsia="en-GB"/>
        </w:rPr>
        <w:t xml:space="preserve"> </w:t>
      </w:r>
      <w:r w:rsidRPr="00B2361E">
        <w:t>conform the property rental base</w:t>
      </w:r>
      <w:r>
        <w:t xml:space="preserve"> and </w:t>
      </w:r>
      <w:r>
        <w:rPr>
          <w:lang w:eastAsia="en-GB"/>
        </w:rPr>
        <w:t>PLC operating costs base</w:t>
      </w:r>
      <w:r>
        <w:t>).</w:t>
      </w:r>
    </w:p>
    <w:p w14:paraId="2A6E28CF" w14:textId="77777777" w:rsidR="00E86B07" w:rsidRPr="007164CD" w:rsidRDefault="00E86B07" w:rsidP="00E86B07">
      <w:pPr>
        <w:pStyle w:val="Footnote"/>
        <w:spacing w:line="240" w:lineRule="auto"/>
        <w:jc w:val="both"/>
        <w:rPr>
          <w:lang w:eastAsia="en-GB"/>
        </w:rPr>
      </w:pPr>
      <w:r>
        <w:rPr>
          <w:lang w:eastAsia="en-GB"/>
        </w:rPr>
        <w:t>3</w:t>
      </w:r>
      <w:r>
        <w:rPr>
          <w:lang w:eastAsia="en-GB"/>
        </w:rPr>
        <w:tab/>
        <w:t>Operating profit, adjusted to add back exceptional items, referred to hereafter as ‘Adjusted operating profit before exceptional items’ (2014 operating profit adjusted to conform the property rental base and PLC operating costs base)</w:t>
      </w:r>
      <w:r w:rsidRPr="007164CD">
        <w:rPr>
          <w:lang w:eastAsia="en-GB"/>
        </w:rPr>
        <w:t>.</w:t>
      </w:r>
    </w:p>
    <w:p w14:paraId="5F204685" w14:textId="77777777" w:rsidR="00E86B07" w:rsidRDefault="00E86B07" w:rsidP="00E86B07">
      <w:pPr>
        <w:pStyle w:val="Footnote"/>
        <w:spacing w:line="240" w:lineRule="auto"/>
        <w:jc w:val="both"/>
        <w:rPr>
          <w:lang w:eastAsia="en-GB"/>
        </w:rPr>
      </w:pPr>
      <w:r>
        <w:rPr>
          <w:lang w:eastAsia="en-GB"/>
        </w:rPr>
        <w:t>4</w:t>
      </w:r>
      <w:r>
        <w:rPr>
          <w:lang w:eastAsia="en-GB"/>
        </w:rPr>
        <w:tab/>
        <w:t>P</w:t>
      </w:r>
      <w:r w:rsidRPr="000C59AA">
        <w:rPr>
          <w:lang w:eastAsia="en-GB"/>
        </w:rPr>
        <w:t xml:space="preserve">ro-forma profit is calculated as earnings after tax adjusted </w:t>
      </w:r>
      <w:r>
        <w:rPr>
          <w:lang w:eastAsia="en-GB"/>
        </w:rPr>
        <w:t xml:space="preserve">for </w:t>
      </w:r>
      <w:r w:rsidRPr="000C59AA">
        <w:rPr>
          <w:lang w:eastAsia="en-GB"/>
        </w:rPr>
        <w:t>exceptional items</w:t>
      </w:r>
      <w:r>
        <w:rPr>
          <w:lang w:eastAsia="en-GB"/>
        </w:rPr>
        <w:t>. For 2014, p</w:t>
      </w:r>
      <w:r w:rsidRPr="000C59AA">
        <w:rPr>
          <w:lang w:eastAsia="en-GB"/>
        </w:rPr>
        <w:t xml:space="preserve">ro-forma profit is calculated as earnings after tax adjusted </w:t>
      </w:r>
      <w:r>
        <w:rPr>
          <w:lang w:eastAsia="en-GB"/>
        </w:rPr>
        <w:t>for the capital restructuring</w:t>
      </w:r>
      <w:r w:rsidRPr="000C59AA">
        <w:rPr>
          <w:lang w:eastAsia="en-GB"/>
        </w:rPr>
        <w:t>, exceptional items</w:t>
      </w:r>
      <w:r>
        <w:rPr>
          <w:lang w:eastAsia="en-GB"/>
        </w:rPr>
        <w:t>, to conform the property rental base, PLC operating costs</w:t>
      </w:r>
      <w:r w:rsidRPr="000C59AA">
        <w:rPr>
          <w:lang w:eastAsia="en-GB"/>
        </w:rPr>
        <w:t xml:space="preserve"> and </w:t>
      </w:r>
      <w:r w:rsidRPr="00B2361E">
        <w:t xml:space="preserve">the net profit arising on the </w:t>
      </w:r>
      <w:r>
        <w:t>sale of property and other assets</w:t>
      </w:r>
      <w:r w:rsidRPr="007164CD">
        <w:rPr>
          <w:lang w:eastAsia="en-GB"/>
        </w:rPr>
        <w:t>.</w:t>
      </w:r>
    </w:p>
    <w:p w14:paraId="743E346E" w14:textId="77777777" w:rsidR="00E86B07" w:rsidRDefault="00E86B07" w:rsidP="00E86B07">
      <w:pPr>
        <w:pStyle w:val="Footnote"/>
        <w:jc w:val="both"/>
      </w:pPr>
      <w:r>
        <w:rPr>
          <w:lang w:eastAsia="en-GB"/>
        </w:rPr>
        <w:t>5</w:t>
      </w:r>
      <w:r>
        <w:rPr>
          <w:lang w:eastAsia="en-GB"/>
        </w:rPr>
        <w:tab/>
        <w:t xml:space="preserve">Calculated as pro-forma profit after tax divided by the number of ordinary shares in issue. </w:t>
      </w:r>
      <w:r>
        <w:t xml:space="preserve">For 2014, the number of </w:t>
      </w:r>
      <w:r>
        <w:rPr>
          <w:lang w:eastAsia="en-GB"/>
        </w:rPr>
        <w:t xml:space="preserve">ordinary shares in issue was the number on Admission of </w:t>
      </w:r>
      <w:r w:rsidRPr="002F46D8">
        <w:rPr>
          <w:lang w:eastAsia="en-GB"/>
        </w:rPr>
        <w:t>4</w:t>
      </w:r>
      <w:r w:rsidRPr="002F46D8">
        <w:t>01,081,391 shares</w:t>
      </w:r>
      <w:r>
        <w:t>.</w:t>
      </w:r>
    </w:p>
    <w:p w14:paraId="0000093C" w14:textId="231E8A35" w:rsidR="00D90AA8" w:rsidRDefault="00E86B07" w:rsidP="00E86B07">
      <w:pPr>
        <w:pStyle w:val="Footnote"/>
        <w:jc w:val="both"/>
        <w:rPr>
          <w:lang w:eastAsia="en-GB"/>
        </w:rPr>
      </w:pPr>
      <w:r w:rsidRPr="009E2BFB">
        <w:rPr>
          <w:lang w:eastAsia="en-GB"/>
        </w:rPr>
        <w:t>6</w:t>
      </w:r>
      <w:r w:rsidRPr="009E2BFB">
        <w:rPr>
          <w:lang w:eastAsia="en-GB"/>
        </w:rPr>
        <w:tab/>
        <w:t>A final dividend of 2.4 pence per ordinary share will be proposed at the Company’s annual general meeting in May 2016. If approved, it will be paid on 28 June 2016</w:t>
      </w:r>
      <w:r>
        <w:rPr>
          <w:lang w:eastAsia="en-GB"/>
        </w:rPr>
        <w:t xml:space="preserve"> to shareholders on the register of members as at 3 June 2016</w:t>
      </w:r>
      <w:r w:rsidR="00D90AA8">
        <w:rPr>
          <w:lang w:eastAsia="en-GB"/>
        </w:rPr>
        <w:t>.</w:t>
      </w:r>
    </w:p>
    <w:p w14:paraId="68B1042D" w14:textId="756B476A" w:rsidR="00D90AA8" w:rsidRDefault="00D90AA8" w:rsidP="00D90AA8">
      <w:pPr>
        <w:pStyle w:val="Footnote"/>
        <w:jc w:val="both"/>
        <w:rPr>
          <w:lang w:eastAsia="en-GB"/>
        </w:rPr>
      </w:pPr>
      <w:r>
        <w:rPr>
          <w:lang w:eastAsia="en-GB"/>
        </w:rPr>
        <w:t>7</w:t>
      </w:r>
      <w:r>
        <w:rPr>
          <w:lang w:eastAsia="en-GB"/>
        </w:rPr>
        <w:tab/>
        <w:t>Operating cash flow adjusted to add back the cash flow effect of exceptional items</w:t>
      </w:r>
      <w:r w:rsidR="00FC5C58">
        <w:rPr>
          <w:lang w:eastAsia="en-GB"/>
        </w:rPr>
        <w:t xml:space="preserve"> and income tax</w:t>
      </w:r>
      <w:r>
        <w:t>.</w:t>
      </w:r>
    </w:p>
    <w:p w14:paraId="11BD8EDE" w14:textId="53644843" w:rsidR="0030148F" w:rsidRDefault="0030148F">
      <w:pPr>
        <w:spacing w:after="160" w:line="259" w:lineRule="auto"/>
        <w:rPr>
          <w:sz w:val="16"/>
          <w:szCs w:val="16"/>
        </w:rPr>
      </w:pPr>
      <w:r>
        <w:rPr>
          <w:sz w:val="16"/>
          <w:szCs w:val="16"/>
        </w:rPr>
        <w:br w:type="page"/>
      </w:r>
    </w:p>
    <w:tbl>
      <w:tblPr>
        <w:tblW w:w="9072" w:type="dxa"/>
        <w:tblLayout w:type="fixed"/>
        <w:tblCellMar>
          <w:left w:w="0" w:type="dxa"/>
          <w:right w:w="57" w:type="dxa"/>
        </w:tblCellMar>
        <w:tblLook w:val="0000" w:firstRow="0" w:lastRow="0" w:firstColumn="0" w:lastColumn="0" w:noHBand="0" w:noVBand="0"/>
      </w:tblPr>
      <w:tblGrid>
        <w:gridCol w:w="4900"/>
        <w:gridCol w:w="1043"/>
        <w:gridCol w:w="1043"/>
        <w:gridCol w:w="1043"/>
        <w:gridCol w:w="1043"/>
      </w:tblGrid>
      <w:tr w:rsidR="00C5684F" w:rsidRPr="003C0ACD" w14:paraId="0D65B61A" w14:textId="77777777" w:rsidTr="00D73661">
        <w:tc>
          <w:tcPr>
            <w:tcW w:w="4900" w:type="dxa"/>
            <w:tcBorders>
              <w:left w:val="nil"/>
              <w:right w:val="nil"/>
            </w:tcBorders>
            <w:shd w:val="clear" w:color="auto" w:fill="auto"/>
          </w:tcPr>
          <w:p w14:paraId="2058E6A0" w14:textId="52F673D8" w:rsidR="00C5684F" w:rsidRPr="00F6043D" w:rsidRDefault="00F6043D" w:rsidP="00D73661">
            <w:pPr>
              <w:pStyle w:val="Tableheading"/>
              <w:keepNext/>
              <w:keepLines/>
              <w:rPr>
                <w:sz w:val="20"/>
                <w:szCs w:val="20"/>
              </w:rPr>
            </w:pPr>
            <w:r w:rsidRPr="00F6043D">
              <w:rPr>
                <w:rFonts w:asciiTheme="majorHAnsi" w:eastAsiaTheme="majorEastAsia" w:hAnsiTheme="majorHAnsi" w:cstheme="majorBidi"/>
                <w:b/>
                <w:caps/>
                <w:color w:val="93B6BB"/>
                <w:spacing w:val="0"/>
                <w:w w:val="100"/>
                <w:sz w:val="17"/>
                <w:szCs w:val="24"/>
              </w:rPr>
              <w:lastRenderedPageBreak/>
              <w:t>Analysis by Payor</w:t>
            </w:r>
          </w:p>
        </w:tc>
        <w:tc>
          <w:tcPr>
            <w:tcW w:w="4172" w:type="dxa"/>
            <w:gridSpan w:val="4"/>
            <w:tcBorders>
              <w:left w:val="nil"/>
              <w:bottom w:val="single" w:sz="4" w:space="0" w:color="93B7BB"/>
              <w:right w:val="nil"/>
            </w:tcBorders>
            <w:shd w:val="clear" w:color="auto" w:fill="auto"/>
            <w:vAlign w:val="bottom"/>
          </w:tcPr>
          <w:p w14:paraId="0D944D4A" w14:textId="77777777" w:rsidR="00C5684F" w:rsidRPr="00B2361E" w:rsidRDefault="00C5684F" w:rsidP="00D73661">
            <w:pPr>
              <w:pStyle w:val="Tableheading"/>
              <w:keepNext/>
              <w:keepLines/>
              <w:jc w:val="center"/>
            </w:pPr>
            <w:r w:rsidRPr="00B2361E">
              <w:t>Y</w:t>
            </w:r>
            <w:r w:rsidRPr="00B2361E">
              <w:rPr>
                <w:spacing w:val="-4"/>
              </w:rPr>
              <w:t>e</w:t>
            </w:r>
            <w:r w:rsidRPr="00B2361E">
              <w:t>a</w:t>
            </w:r>
            <w:r w:rsidRPr="00B2361E">
              <w:rPr>
                <w:spacing w:val="-4"/>
              </w:rPr>
              <w:t>r</w:t>
            </w:r>
            <w:r w:rsidRPr="00B2361E">
              <w:t xml:space="preserve"> e</w:t>
            </w:r>
            <w:r w:rsidRPr="00B2361E">
              <w:rPr>
                <w:spacing w:val="-1"/>
              </w:rPr>
              <w:t>nd</w:t>
            </w:r>
            <w:r w:rsidRPr="00B2361E">
              <w:t>e</w:t>
            </w:r>
            <w:r w:rsidRPr="00B2361E">
              <w:rPr>
                <w:spacing w:val="-1"/>
              </w:rPr>
              <w:t>d</w:t>
            </w:r>
            <w:r w:rsidRPr="00B2361E">
              <w:t xml:space="preserve"> 31 </w:t>
            </w:r>
            <w:r w:rsidRPr="00B2361E">
              <w:rPr>
                <w:spacing w:val="-1"/>
              </w:rPr>
              <w:t>D</w:t>
            </w:r>
            <w:r w:rsidRPr="00B2361E">
              <w:t>e</w:t>
            </w:r>
            <w:r w:rsidRPr="00B2361E">
              <w:rPr>
                <w:spacing w:val="-1"/>
              </w:rPr>
              <w:t>c</w:t>
            </w:r>
            <w:r w:rsidRPr="00B2361E">
              <w:t>e</w:t>
            </w:r>
            <w:r w:rsidRPr="00B2361E">
              <w:rPr>
                <w:spacing w:val="-1"/>
              </w:rPr>
              <w:t>mb</w:t>
            </w:r>
            <w:r w:rsidRPr="00B2361E">
              <w:t>er</w:t>
            </w:r>
          </w:p>
        </w:tc>
      </w:tr>
      <w:tr w:rsidR="00C5684F" w:rsidRPr="003C0ACD" w14:paraId="5EF100E4" w14:textId="77777777" w:rsidTr="00D73661">
        <w:tc>
          <w:tcPr>
            <w:tcW w:w="4900" w:type="dxa"/>
            <w:tcBorders>
              <w:left w:val="nil"/>
              <w:bottom w:val="single" w:sz="4" w:space="0" w:color="93B7BB"/>
              <w:right w:val="nil"/>
            </w:tcBorders>
            <w:shd w:val="clear" w:color="auto" w:fill="auto"/>
            <w:vAlign w:val="bottom"/>
          </w:tcPr>
          <w:p w14:paraId="1207A8FD" w14:textId="77777777" w:rsidR="00C5684F" w:rsidRPr="00B2361E" w:rsidRDefault="00C5684F" w:rsidP="00D73661">
            <w:pPr>
              <w:pStyle w:val="Tableheading"/>
              <w:keepNext/>
              <w:keepLines/>
            </w:pPr>
            <w:r w:rsidRPr="00B2361E">
              <w:rPr>
                <w:b/>
                <w:bCs/>
              </w:rPr>
              <w:t>(£ million)</w:t>
            </w:r>
          </w:p>
        </w:tc>
        <w:tc>
          <w:tcPr>
            <w:tcW w:w="1043" w:type="dxa"/>
            <w:tcBorders>
              <w:top w:val="single" w:sz="4" w:space="0" w:color="93B7BB"/>
              <w:left w:val="nil"/>
              <w:bottom w:val="single" w:sz="4" w:space="0" w:color="93B7BB"/>
              <w:right w:val="nil"/>
            </w:tcBorders>
            <w:shd w:val="clear" w:color="auto" w:fill="auto"/>
            <w:vAlign w:val="bottom"/>
          </w:tcPr>
          <w:p w14:paraId="4AEAA576" w14:textId="017FB2CD" w:rsidR="00C5684F" w:rsidRPr="00B2361E" w:rsidRDefault="00C5684F" w:rsidP="000B3E7D">
            <w:pPr>
              <w:pStyle w:val="Tableheading"/>
              <w:keepNext/>
              <w:keepLines/>
              <w:jc w:val="right"/>
              <w:rPr>
                <w:b/>
                <w:bCs/>
                <w:spacing w:val="-2"/>
              </w:rPr>
            </w:pPr>
            <w:r w:rsidRPr="00B2361E">
              <w:rPr>
                <w:b/>
                <w:bCs/>
                <w:spacing w:val="-1"/>
              </w:rPr>
              <w:t>201</w:t>
            </w:r>
            <w:r w:rsidR="000B3E7D">
              <w:rPr>
                <w:b/>
                <w:bCs/>
                <w:spacing w:val="-1"/>
              </w:rPr>
              <w:t>5</w:t>
            </w:r>
          </w:p>
        </w:tc>
        <w:tc>
          <w:tcPr>
            <w:tcW w:w="1043" w:type="dxa"/>
            <w:tcBorders>
              <w:top w:val="single" w:sz="4" w:space="0" w:color="93B7BB"/>
              <w:left w:val="nil"/>
              <w:bottom w:val="single" w:sz="4" w:space="0" w:color="93B7BB"/>
              <w:right w:val="nil"/>
            </w:tcBorders>
            <w:shd w:val="clear" w:color="auto" w:fill="auto"/>
            <w:vAlign w:val="bottom"/>
          </w:tcPr>
          <w:p w14:paraId="26DA7882" w14:textId="7C6FF8A7" w:rsidR="00C5684F" w:rsidRPr="00B2361E" w:rsidRDefault="00C5684F" w:rsidP="000B3E7D">
            <w:pPr>
              <w:pStyle w:val="Tableheading"/>
              <w:keepNext/>
              <w:keepLines/>
              <w:jc w:val="right"/>
              <w:rPr>
                <w:spacing w:val="-2"/>
              </w:rPr>
            </w:pPr>
            <w:r w:rsidRPr="00B2361E">
              <w:t>201</w:t>
            </w:r>
            <w:r w:rsidR="000B3E7D">
              <w:t>4</w:t>
            </w:r>
          </w:p>
        </w:tc>
        <w:tc>
          <w:tcPr>
            <w:tcW w:w="1043" w:type="dxa"/>
            <w:tcBorders>
              <w:top w:val="single" w:sz="4" w:space="0" w:color="93B7BB"/>
              <w:left w:val="nil"/>
              <w:bottom w:val="single" w:sz="4" w:space="0" w:color="93B7BB"/>
              <w:right w:val="nil"/>
            </w:tcBorders>
            <w:shd w:val="clear" w:color="auto" w:fill="auto"/>
            <w:vAlign w:val="bottom"/>
          </w:tcPr>
          <w:p w14:paraId="419D8B77" w14:textId="77777777" w:rsidR="00E86B07" w:rsidRDefault="00C5684F" w:rsidP="00D73661">
            <w:pPr>
              <w:pStyle w:val="Tableheading"/>
              <w:keepNext/>
              <w:keepLines/>
              <w:jc w:val="right"/>
            </w:pPr>
            <w:r w:rsidRPr="00B2361E">
              <w:rPr>
                <w:spacing w:val="-2"/>
              </w:rPr>
              <w:t>Varianc</w:t>
            </w:r>
            <w:r w:rsidRPr="00B2361E">
              <w:t>e</w:t>
            </w:r>
          </w:p>
          <w:p w14:paraId="264DE87F" w14:textId="53FC2E85" w:rsidR="00C5684F" w:rsidRPr="00B2361E" w:rsidRDefault="00C5684F" w:rsidP="00D73661">
            <w:pPr>
              <w:pStyle w:val="Tableheading"/>
              <w:keepNext/>
              <w:keepLines/>
              <w:jc w:val="right"/>
              <w:rPr>
                <w:spacing w:val="-1"/>
              </w:rPr>
            </w:pPr>
            <w:r w:rsidRPr="00B2361E">
              <w:t xml:space="preserve"> %</w:t>
            </w:r>
          </w:p>
        </w:tc>
        <w:tc>
          <w:tcPr>
            <w:tcW w:w="1043" w:type="dxa"/>
            <w:tcBorders>
              <w:top w:val="single" w:sz="4" w:space="0" w:color="93B7BB"/>
              <w:left w:val="nil"/>
              <w:bottom w:val="single" w:sz="4" w:space="0" w:color="93B7BB"/>
              <w:right w:val="nil"/>
            </w:tcBorders>
            <w:shd w:val="clear" w:color="auto" w:fill="auto"/>
            <w:vAlign w:val="bottom"/>
          </w:tcPr>
          <w:p w14:paraId="3741F345" w14:textId="77777777" w:rsidR="00E86B07" w:rsidRDefault="00C5684F" w:rsidP="001D36EF">
            <w:pPr>
              <w:pStyle w:val="Tableheading"/>
              <w:keepNext/>
              <w:keepLines/>
              <w:jc w:val="right"/>
              <w:rPr>
                <w:spacing w:val="-8"/>
              </w:rPr>
            </w:pPr>
            <w:r w:rsidRPr="00B2361E">
              <w:t>Variance</w:t>
            </w:r>
            <w:r w:rsidRPr="00B2361E">
              <w:rPr>
                <w:spacing w:val="21"/>
                <w:w w:val="101"/>
              </w:rPr>
              <w:t xml:space="preserve"> </w:t>
            </w:r>
            <w:r w:rsidRPr="00B2361E">
              <w:t>excluding</w:t>
            </w:r>
            <w:r w:rsidRPr="00B2361E">
              <w:rPr>
                <w:spacing w:val="25"/>
                <w:w w:val="114"/>
              </w:rPr>
              <w:t xml:space="preserve"> </w:t>
            </w:r>
            <w:r w:rsidRPr="00B2361E">
              <w:t>acquisitions</w:t>
            </w:r>
            <w:r w:rsidRPr="00B2361E">
              <w:rPr>
                <w:spacing w:val="-8"/>
              </w:rPr>
              <w:t xml:space="preserve"> </w:t>
            </w:r>
          </w:p>
          <w:p w14:paraId="15DD1EBD" w14:textId="781E688B" w:rsidR="00C5684F" w:rsidRPr="00B2361E" w:rsidRDefault="00C5684F" w:rsidP="001D36EF">
            <w:pPr>
              <w:pStyle w:val="Tableheading"/>
              <w:keepNext/>
              <w:keepLines/>
              <w:jc w:val="right"/>
            </w:pPr>
            <w:r w:rsidRPr="00B2361E">
              <w:rPr>
                <w:spacing w:val="-1"/>
              </w:rPr>
              <w:t>%</w:t>
            </w:r>
            <w:r w:rsidR="001D36EF">
              <w:rPr>
                <w:spacing w:val="-1"/>
              </w:rPr>
              <w:t xml:space="preserve"> (1)</w:t>
            </w:r>
          </w:p>
        </w:tc>
      </w:tr>
      <w:tr w:rsidR="00C5684F" w:rsidRPr="008079E9" w14:paraId="5F1FDC56" w14:textId="77777777" w:rsidTr="00D73661">
        <w:tc>
          <w:tcPr>
            <w:tcW w:w="4900" w:type="dxa"/>
            <w:tcBorders>
              <w:top w:val="single" w:sz="4" w:space="0" w:color="93B7BB"/>
              <w:left w:val="nil"/>
              <w:bottom w:val="nil"/>
              <w:right w:val="nil"/>
            </w:tcBorders>
          </w:tcPr>
          <w:p w14:paraId="5EBC0890" w14:textId="77777777" w:rsidR="00C5684F" w:rsidRPr="00B2361E" w:rsidRDefault="00C5684F" w:rsidP="00D73661">
            <w:pPr>
              <w:pStyle w:val="Tabletext"/>
              <w:keepNext/>
              <w:keepLines/>
              <w:rPr>
                <w:b/>
                <w:bCs/>
                <w:color w:val="auto"/>
              </w:rPr>
            </w:pPr>
            <w:r w:rsidRPr="00B2361E">
              <w:rPr>
                <w:b/>
                <w:bCs/>
                <w:spacing w:val="-5"/>
              </w:rPr>
              <w:t>To</w:t>
            </w:r>
            <w:r w:rsidRPr="00B2361E">
              <w:rPr>
                <w:b/>
                <w:bCs/>
              </w:rPr>
              <w:t>tal</w:t>
            </w:r>
            <w:r w:rsidRPr="00B2361E">
              <w:rPr>
                <w:b/>
                <w:bCs/>
                <w:spacing w:val="-15"/>
              </w:rPr>
              <w:t xml:space="preserve"> </w:t>
            </w:r>
            <w:r w:rsidRPr="00B2361E">
              <w:rPr>
                <w:b/>
                <w:bCs/>
              </w:rPr>
              <w:t>re</w:t>
            </w:r>
            <w:r w:rsidRPr="00B2361E">
              <w:rPr>
                <w:b/>
                <w:bCs/>
                <w:spacing w:val="-3"/>
              </w:rPr>
              <w:t>v</w:t>
            </w:r>
            <w:r w:rsidRPr="00B2361E">
              <w:rPr>
                <w:b/>
                <w:bCs/>
              </w:rPr>
              <w:t>e</w:t>
            </w:r>
            <w:r w:rsidRPr="00B2361E">
              <w:rPr>
                <w:b/>
                <w:bCs/>
                <w:spacing w:val="-3"/>
              </w:rPr>
              <w:t>nu</w:t>
            </w:r>
            <w:r w:rsidRPr="00B2361E">
              <w:rPr>
                <w:b/>
                <w:bCs/>
              </w:rPr>
              <w:t>e</w:t>
            </w:r>
          </w:p>
        </w:tc>
        <w:tc>
          <w:tcPr>
            <w:tcW w:w="1043" w:type="dxa"/>
            <w:tcBorders>
              <w:top w:val="single" w:sz="4" w:space="0" w:color="93B7BB"/>
              <w:left w:val="nil"/>
              <w:bottom w:val="nil"/>
              <w:right w:val="nil"/>
            </w:tcBorders>
            <w:shd w:val="clear" w:color="auto" w:fill="EFF4F5"/>
            <w:vAlign w:val="bottom"/>
          </w:tcPr>
          <w:p w14:paraId="6EA15F11" w14:textId="0C917970" w:rsidR="00C5684F" w:rsidRPr="00E86B07" w:rsidRDefault="00E86B07" w:rsidP="00D73661">
            <w:pPr>
              <w:pStyle w:val="Tabletext"/>
              <w:keepNext/>
              <w:keepLines/>
              <w:jc w:val="right"/>
              <w:rPr>
                <w:b/>
                <w:bCs/>
              </w:rPr>
            </w:pPr>
            <w:r w:rsidRPr="00E86B07">
              <w:rPr>
                <w:b/>
                <w:bCs/>
              </w:rPr>
              <w:t>884.8</w:t>
            </w:r>
          </w:p>
        </w:tc>
        <w:tc>
          <w:tcPr>
            <w:tcW w:w="1043" w:type="dxa"/>
            <w:tcBorders>
              <w:top w:val="single" w:sz="4" w:space="0" w:color="93B7BB"/>
              <w:left w:val="nil"/>
              <w:bottom w:val="nil"/>
              <w:right w:val="nil"/>
            </w:tcBorders>
            <w:vAlign w:val="bottom"/>
          </w:tcPr>
          <w:p w14:paraId="3FC8F873" w14:textId="4C4FB915" w:rsidR="00C5684F" w:rsidRPr="00B2361E" w:rsidRDefault="00D46564" w:rsidP="00D73661">
            <w:pPr>
              <w:pStyle w:val="Tabletext"/>
              <w:keepNext/>
              <w:keepLines/>
              <w:jc w:val="right"/>
              <w:rPr>
                <w:b/>
                <w:bCs/>
                <w:color w:val="auto"/>
              </w:rPr>
            </w:pPr>
            <w:r w:rsidRPr="00B2361E">
              <w:rPr>
                <w:b/>
                <w:bCs/>
              </w:rPr>
              <w:t>856</w:t>
            </w:r>
            <w:r w:rsidRPr="00B2361E">
              <w:rPr>
                <w:b/>
                <w:bCs/>
                <w:spacing w:val="-3"/>
              </w:rPr>
              <w:t>.</w:t>
            </w:r>
            <w:r w:rsidRPr="00B2361E">
              <w:rPr>
                <w:b/>
                <w:bCs/>
              </w:rPr>
              <w:t>0</w:t>
            </w:r>
          </w:p>
        </w:tc>
        <w:tc>
          <w:tcPr>
            <w:tcW w:w="1043" w:type="dxa"/>
            <w:tcBorders>
              <w:top w:val="single" w:sz="4" w:space="0" w:color="93B7BB"/>
              <w:left w:val="nil"/>
              <w:bottom w:val="nil"/>
              <w:right w:val="nil"/>
            </w:tcBorders>
            <w:vAlign w:val="bottom"/>
          </w:tcPr>
          <w:p w14:paraId="1BF03590" w14:textId="4AF250AE" w:rsidR="00C5684F" w:rsidRPr="00B2361E" w:rsidRDefault="00E86B07" w:rsidP="00E86B07">
            <w:pPr>
              <w:pStyle w:val="Tabletext"/>
              <w:keepNext/>
              <w:keepLines/>
              <w:jc w:val="right"/>
              <w:rPr>
                <w:b/>
                <w:bCs/>
                <w:color w:val="auto"/>
              </w:rPr>
            </w:pPr>
            <w:r>
              <w:rPr>
                <w:b/>
                <w:bCs/>
                <w:spacing w:val="-1"/>
              </w:rPr>
              <w:t>3</w:t>
            </w:r>
            <w:r w:rsidR="00C5684F" w:rsidRPr="00B2361E">
              <w:rPr>
                <w:b/>
                <w:bCs/>
              </w:rPr>
              <w:t>.</w:t>
            </w:r>
            <w:r>
              <w:rPr>
                <w:b/>
                <w:bCs/>
              </w:rPr>
              <w:t>4</w:t>
            </w:r>
            <w:r w:rsidR="00C5684F" w:rsidRPr="00B2361E">
              <w:rPr>
                <w:b/>
                <w:bCs/>
                <w:spacing w:val="-1"/>
              </w:rPr>
              <w:t>%</w:t>
            </w:r>
          </w:p>
        </w:tc>
        <w:tc>
          <w:tcPr>
            <w:tcW w:w="1043" w:type="dxa"/>
            <w:tcBorders>
              <w:top w:val="single" w:sz="4" w:space="0" w:color="93B7BB"/>
              <w:left w:val="nil"/>
              <w:bottom w:val="nil"/>
              <w:right w:val="nil"/>
            </w:tcBorders>
            <w:vAlign w:val="bottom"/>
          </w:tcPr>
          <w:p w14:paraId="69438A5C" w14:textId="2F3E300A" w:rsidR="00C5684F" w:rsidRPr="00B2361E" w:rsidRDefault="00E86B07" w:rsidP="00E86B07">
            <w:pPr>
              <w:pStyle w:val="Tabletext"/>
              <w:keepNext/>
              <w:keepLines/>
              <w:jc w:val="right"/>
              <w:rPr>
                <w:b/>
                <w:bCs/>
                <w:color w:val="auto"/>
              </w:rPr>
            </w:pPr>
            <w:r>
              <w:rPr>
                <w:b/>
                <w:bCs/>
                <w:spacing w:val="-3"/>
              </w:rPr>
              <w:t>2</w:t>
            </w:r>
            <w:r w:rsidR="00C5684F" w:rsidRPr="00B2361E">
              <w:rPr>
                <w:b/>
                <w:bCs/>
                <w:spacing w:val="-3"/>
              </w:rPr>
              <w:t>.5%</w:t>
            </w:r>
          </w:p>
        </w:tc>
      </w:tr>
      <w:tr w:rsidR="00C5684F" w:rsidRPr="008079E9" w14:paraId="3AF9EB5D" w14:textId="77777777" w:rsidTr="00D73661">
        <w:tc>
          <w:tcPr>
            <w:tcW w:w="4900" w:type="dxa"/>
            <w:tcBorders>
              <w:top w:val="nil"/>
              <w:left w:val="nil"/>
              <w:bottom w:val="nil"/>
              <w:right w:val="nil"/>
            </w:tcBorders>
          </w:tcPr>
          <w:p w14:paraId="6454C52D" w14:textId="77777777" w:rsidR="00C5684F" w:rsidRPr="00B2361E" w:rsidRDefault="00C5684F" w:rsidP="00F629BA">
            <w:pPr>
              <w:pStyle w:val="Tabletext"/>
              <w:rPr>
                <w:color w:val="auto"/>
              </w:rPr>
            </w:pPr>
            <w:r w:rsidRPr="00715548">
              <w:t>Of which:</w:t>
            </w:r>
          </w:p>
        </w:tc>
        <w:tc>
          <w:tcPr>
            <w:tcW w:w="1043" w:type="dxa"/>
            <w:tcBorders>
              <w:top w:val="nil"/>
              <w:left w:val="nil"/>
              <w:bottom w:val="nil"/>
              <w:right w:val="nil"/>
            </w:tcBorders>
            <w:shd w:val="clear" w:color="auto" w:fill="EFF4F5"/>
            <w:vAlign w:val="bottom"/>
          </w:tcPr>
          <w:p w14:paraId="231D4BCE" w14:textId="77777777" w:rsidR="00C5684F" w:rsidRPr="00B2361E" w:rsidRDefault="00C5684F" w:rsidP="00D73661">
            <w:pPr>
              <w:pStyle w:val="Tabletext"/>
              <w:keepNext/>
              <w:keepLines/>
              <w:jc w:val="right"/>
              <w:rPr>
                <w:b/>
                <w:bCs/>
                <w:color w:val="auto"/>
              </w:rPr>
            </w:pPr>
          </w:p>
        </w:tc>
        <w:tc>
          <w:tcPr>
            <w:tcW w:w="1043" w:type="dxa"/>
            <w:tcBorders>
              <w:top w:val="nil"/>
              <w:left w:val="nil"/>
              <w:bottom w:val="nil"/>
              <w:right w:val="nil"/>
            </w:tcBorders>
            <w:vAlign w:val="bottom"/>
          </w:tcPr>
          <w:p w14:paraId="35F1EC5D" w14:textId="77777777" w:rsidR="00C5684F" w:rsidRPr="00B2361E" w:rsidRDefault="00C5684F" w:rsidP="00D73661">
            <w:pPr>
              <w:pStyle w:val="Tabletext"/>
              <w:keepNext/>
              <w:keepLines/>
              <w:jc w:val="right"/>
              <w:rPr>
                <w:color w:val="auto"/>
              </w:rPr>
            </w:pPr>
          </w:p>
        </w:tc>
        <w:tc>
          <w:tcPr>
            <w:tcW w:w="1043" w:type="dxa"/>
            <w:tcBorders>
              <w:top w:val="nil"/>
              <w:left w:val="nil"/>
              <w:bottom w:val="nil"/>
              <w:right w:val="nil"/>
            </w:tcBorders>
            <w:vAlign w:val="bottom"/>
          </w:tcPr>
          <w:p w14:paraId="1D056D0D" w14:textId="77777777" w:rsidR="00C5684F" w:rsidRPr="00B2361E" w:rsidRDefault="00C5684F" w:rsidP="00D73661">
            <w:pPr>
              <w:pStyle w:val="Tabletext"/>
              <w:keepNext/>
              <w:keepLines/>
              <w:jc w:val="right"/>
              <w:rPr>
                <w:color w:val="auto"/>
              </w:rPr>
            </w:pPr>
          </w:p>
        </w:tc>
        <w:tc>
          <w:tcPr>
            <w:tcW w:w="1043" w:type="dxa"/>
            <w:tcBorders>
              <w:top w:val="nil"/>
              <w:left w:val="nil"/>
              <w:bottom w:val="nil"/>
              <w:right w:val="nil"/>
            </w:tcBorders>
            <w:vAlign w:val="bottom"/>
          </w:tcPr>
          <w:p w14:paraId="74354736" w14:textId="77777777" w:rsidR="00C5684F" w:rsidRPr="00B2361E" w:rsidRDefault="00C5684F" w:rsidP="00D73661">
            <w:pPr>
              <w:pStyle w:val="Tabletext"/>
              <w:keepNext/>
              <w:keepLines/>
              <w:jc w:val="right"/>
              <w:rPr>
                <w:color w:val="auto"/>
              </w:rPr>
            </w:pPr>
          </w:p>
        </w:tc>
      </w:tr>
      <w:tr w:rsidR="00D46564" w:rsidRPr="008079E9" w14:paraId="3D42A345" w14:textId="77777777" w:rsidTr="00D73661">
        <w:tc>
          <w:tcPr>
            <w:tcW w:w="4900" w:type="dxa"/>
            <w:tcBorders>
              <w:top w:val="nil"/>
              <w:left w:val="nil"/>
              <w:bottom w:val="nil"/>
              <w:right w:val="nil"/>
            </w:tcBorders>
          </w:tcPr>
          <w:p w14:paraId="20C7154B" w14:textId="77777777" w:rsidR="00D46564" w:rsidRPr="00B2361E" w:rsidRDefault="00D46564" w:rsidP="00D73661">
            <w:pPr>
              <w:pStyle w:val="Tabletext"/>
              <w:keepNext/>
              <w:keepLines/>
              <w:rPr>
                <w:color w:val="auto"/>
              </w:rPr>
            </w:pPr>
            <w:r w:rsidRPr="00B2361E">
              <w:rPr>
                <w:spacing w:val="-5"/>
              </w:rPr>
              <w:t>PMI</w:t>
            </w:r>
          </w:p>
        </w:tc>
        <w:tc>
          <w:tcPr>
            <w:tcW w:w="1043" w:type="dxa"/>
            <w:tcBorders>
              <w:top w:val="nil"/>
              <w:left w:val="nil"/>
              <w:bottom w:val="nil"/>
              <w:right w:val="nil"/>
            </w:tcBorders>
            <w:shd w:val="clear" w:color="auto" w:fill="EFF4F5"/>
            <w:vAlign w:val="bottom"/>
          </w:tcPr>
          <w:p w14:paraId="1088B52B" w14:textId="0C0E016F" w:rsidR="00D46564" w:rsidRPr="004E3C15" w:rsidRDefault="004E3C15" w:rsidP="00D73661">
            <w:pPr>
              <w:pStyle w:val="Tabletext"/>
              <w:keepNext/>
              <w:keepLines/>
              <w:jc w:val="right"/>
              <w:rPr>
                <w:b/>
                <w:bCs/>
              </w:rPr>
            </w:pPr>
            <w:r w:rsidRPr="004E3C15">
              <w:rPr>
                <w:b/>
                <w:bCs/>
              </w:rPr>
              <w:t>434.8</w:t>
            </w:r>
          </w:p>
        </w:tc>
        <w:tc>
          <w:tcPr>
            <w:tcW w:w="1043" w:type="dxa"/>
            <w:tcBorders>
              <w:top w:val="nil"/>
              <w:left w:val="nil"/>
              <w:bottom w:val="nil"/>
              <w:right w:val="nil"/>
            </w:tcBorders>
            <w:vAlign w:val="bottom"/>
          </w:tcPr>
          <w:p w14:paraId="679ADAB5" w14:textId="296E6B27" w:rsidR="00D46564" w:rsidRPr="00D46564" w:rsidRDefault="00D46564" w:rsidP="00D73661">
            <w:pPr>
              <w:pStyle w:val="Tabletext"/>
              <w:keepNext/>
              <w:keepLines/>
              <w:jc w:val="right"/>
              <w:rPr>
                <w:color w:val="auto"/>
              </w:rPr>
            </w:pPr>
            <w:r w:rsidRPr="00D46564">
              <w:rPr>
                <w:bCs/>
                <w:spacing w:val="-3"/>
              </w:rPr>
              <w:t>432</w:t>
            </w:r>
            <w:r w:rsidRPr="00D46564">
              <w:rPr>
                <w:bCs/>
              </w:rPr>
              <w:t>.</w:t>
            </w:r>
            <w:r w:rsidRPr="00D46564">
              <w:rPr>
                <w:bCs/>
                <w:spacing w:val="-3"/>
              </w:rPr>
              <w:t>4</w:t>
            </w:r>
          </w:p>
        </w:tc>
        <w:tc>
          <w:tcPr>
            <w:tcW w:w="1043" w:type="dxa"/>
            <w:tcBorders>
              <w:top w:val="nil"/>
              <w:left w:val="nil"/>
              <w:bottom w:val="nil"/>
              <w:right w:val="nil"/>
            </w:tcBorders>
            <w:vAlign w:val="bottom"/>
          </w:tcPr>
          <w:p w14:paraId="3AC53269" w14:textId="77E2D3BB" w:rsidR="00D46564" w:rsidRPr="00B2361E" w:rsidRDefault="004E3C15" w:rsidP="004E3C15">
            <w:pPr>
              <w:pStyle w:val="Tabletext"/>
              <w:keepNext/>
              <w:keepLines/>
              <w:jc w:val="right"/>
              <w:rPr>
                <w:color w:val="auto"/>
              </w:rPr>
            </w:pPr>
            <w:r>
              <w:t>0</w:t>
            </w:r>
            <w:r w:rsidR="00D46564" w:rsidRPr="00B2361E">
              <w:t>.</w:t>
            </w:r>
            <w:r>
              <w:t>6</w:t>
            </w:r>
            <w:r w:rsidR="00D46564" w:rsidRPr="00B2361E">
              <w:rPr>
                <w:spacing w:val="-1"/>
              </w:rPr>
              <w:t>%</w:t>
            </w:r>
          </w:p>
        </w:tc>
        <w:tc>
          <w:tcPr>
            <w:tcW w:w="1043" w:type="dxa"/>
            <w:tcBorders>
              <w:top w:val="nil"/>
              <w:left w:val="nil"/>
              <w:bottom w:val="nil"/>
              <w:right w:val="nil"/>
            </w:tcBorders>
            <w:vAlign w:val="bottom"/>
          </w:tcPr>
          <w:p w14:paraId="3A2BCC1F" w14:textId="7F41D402" w:rsidR="00D46564" w:rsidRPr="00B2361E" w:rsidRDefault="004E3C15" w:rsidP="004E3C15">
            <w:pPr>
              <w:pStyle w:val="Tabletext"/>
              <w:keepNext/>
              <w:keepLines/>
              <w:jc w:val="right"/>
              <w:rPr>
                <w:color w:val="auto"/>
              </w:rPr>
            </w:pPr>
            <w:r>
              <w:t>(</w:t>
            </w:r>
            <w:r w:rsidR="00D46564">
              <w:t>1.</w:t>
            </w:r>
            <w:r>
              <w:t>1</w:t>
            </w:r>
            <w:r w:rsidR="00D46564" w:rsidRPr="00B2361E">
              <w:rPr>
                <w:spacing w:val="-3"/>
              </w:rPr>
              <w:t>%</w:t>
            </w:r>
            <w:r>
              <w:rPr>
                <w:spacing w:val="-3"/>
              </w:rPr>
              <w:t>)</w:t>
            </w:r>
          </w:p>
        </w:tc>
      </w:tr>
      <w:tr w:rsidR="00D46564" w:rsidRPr="008079E9" w14:paraId="79B11E9E" w14:textId="77777777" w:rsidTr="00D73661">
        <w:tc>
          <w:tcPr>
            <w:tcW w:w="4900" w:type="dxa"/>
            <w:tcBorders>
              <w:top w:val="nil"/>
              <w:left w:val="nil"/>
              <w:bottom w:val="nil"/>
              <w:right w:val="nil"/>
            </w:tcBorders>
          </w:tcPr>
          <w:p w14:paraId="407E5805" w14:textId="77777777" w:rsidR="00D46564" w:rsidRPr="00B2361E" w:rsidRDefault="00D46564" w:rsidP="00D73661">
            <w:pPr>
              <w:pStyle w:val="Tabletext"/>
              <w:keepNext/>
              <w:keepLines/>
              <w:rPr>
                <w:color w:val="auto"/>
              </w:rPr>
            </w:pPr>
            <w:r w:rsidRPr="00B2361E">
              <w:rPr>
                <w:spacing w:val="-5"/>
                <w:w w:val="110"/>
              </w:rPr>
              <w:t>NHS</w:t>
            </w:r>
          </w:p>
        </w:tc>
        <w:tc>
          <w:tcPr>
            <w:tcW w:w="1043" w:type="dxa"/>
            <w:tcBorders>
              <w:top w:val="nil"/>
              <w:left w:val="nil"/>
              <w:bottom w:val="nil"/>
              <w:right w:val="nil"/>
            </w:tcBorders>
            <w:shd w:val="clear" w:color="auto" w:fill="EFF4F5"/>
            <w:vAlign w:val="bottom"/>
          </w:tcPr>
          <w:p w14:paraId="4A039C5F" w14:textId="345DC2FC" w:rsidR="00D46564" w:rsidRPr="004E3C15" w:rsidRDefault="004E3C15" w:rsidP="00D73661">
            <w:pPr>
              <w:pStyle w:val="Tabletext"/>
              <w:keepNext/>
              <w:keepLines/>
              <w:jc w:val="right"/>
              <w:rPr>
                <w:b/>
                <w:bCs/>
              </w:rPr>
            </w:pPr>
            <w:r w:rsidRPr="004E3C15">
              <w:rPr>
                <w:b/>
                <w:bCs/>
              </w:rPr>
              <w:t>262.0</w:t>
            </w:r>
          </w:p>
        </w:tc>
        <w:tc>
          <w:tcPr>
            <w:tcW w:w="1043" w:type="dxa"/>
            <w:tcBorders>
              <w:top w:val="nil"/>
              <w:left w:val="nil"/>
              <w:bottom w:val="nil"/>
              <w:right w:val="nil"/>
            </w:tcBorders>
            <w:vAlign w:val="bottom"/>
          </w:tcPr>
          <w:p w14:paraId="0792B937" w14:textId="15A7B16C" w:rsidR="00D46564" w:rsidRPr="00D46564" w:rsidRDefault="00D46564" w:rsidP="00D73661">
            <w:pPr>
              <w:pStyle w:val="Tabletext"/>
              <w:keepNext/>
              <w:keepLines/>
              <w:jc w:val="right"/>
              <w:rPr>
                <w:color w:val="auto"/>
              </w:rPr>
            </w:pPr>
            <w:r w:rsidRPr="00D46564">
              <w:rPr>
                <w:bCs/>
              </w:rPr>
              <w:t>245</w:t>
            </w:r>
            <w:r w:rsidRPr="00D46564">
              <w:rPr>
                <w:bCs/>
                <w:spacing w:val="-3"/>
              </w:rPr>
              <w:t>.</w:t>
            </w:r>
            <w:r w:rsidRPr="00D46564">
              <w:rPr>
                <w:bCs/>
              </w:rPr>
              <w:t>9</w:t>
            </w:r>
          </w:p>
        </w:tc>
        <w:tc>
          <w:tcPr>
            <w:tcW w:w="1043" w:type="dxa"/>
            <w:tcBorders>
              <w:top w:val="nil"/>
              <w:left w:val="nil"/>
              <w:bottom w:val="nil"/>
              <w:right w:val="nil"/>
            </w:tcBorders>
            <w:vAlign w:val="bottom"/>
          </w:tcPr>
          <w:p w14:paraId="22D81826" w14:textId="2A4F44E5" w:rsidR="00D46564" w:rsidRPr="00B2361E" w:rsidRDefault="004E3C15" w:rsidP="00D73661">
            <w:pPr>
              <w:pStyle w:val="Tabletext"/>
              <w:keepNext/>
              <w:keepLines/>
              <w:jc w:val="right"/>
              <w:rPr>
                <w:color w:val="auto"/>
              </w:rPr>
            </w:pPr>
            <w:r>
              <w:t>6</w:t>
            </w:r>
            <w:r w:rsidR="00D46564" w:rsidRPr="00B2361E">
              <w:t>.</w:t>
            </w:r>
            <w:r w:rsidR="00D46564" w:rsidRPr="00B2361E">
              <w:rPr>
                <w:spacing w:val="-3"/>
              </w:rPr>
              <w:t>5</w:t>
            </w:r>
            <w:r w:rsidR="00D46564" w:rsidRPr="00B2361E">
              <w:t>%</w:t>
            </w:r>
          </w:p>
        </w:tc>
        <w:tc>
          <w:tcPr>
            <w:tcW w:w="1043" w:type="dxa"/>
            <w:tcBorders>
              <w:top w:val="nil"/>
              <w:left w:val="nil"/>
              <w:bottom w:val="nil"/>
              <w:right w:val="nil"/>
            </w:tcBorders>
            <w:vAlign w:val="bottom"/>
          </w:tcPr>
          <w:p w14:paraId="572320E0" w14:textId="384C9F56" w:rsidR="00D46564" w:rsidRPr="004E3C15" w:rsidRDefault="004E3C15" w:rsidP="004E3C15">
            <w:pPr>
              <w:pStyle w:val="Tabletext"/>
              <w:keepNext/>
              <w:keepLines/>
              <w:jc w:val="right"/>
              <w:rPr>
                <w:spacing w:val="-3"/>
              </w:rPr>
            </w:pPr>
            <w:r w:rsidRPr="004E3C15">
              <w:rPr>
                <w:spacing w:val="-3"/>
              </w:rPr>
              <w:t>6</w:t>
            </w:r>
            <w:r w:rsidR="00D46564" w:rsidRPr="004E3C15">
              <w:rPr>
                <w:spacing w:val="-3"/>
              </w:rPr>
              <w:t>.</w:t>
            </w:r>
            <w:r w:rsidRPr="004E3C15">
              <w:rPr>
                <w:spacing w:val="-3"/>
              </w:rPr>
              <w:t>7</w:t>
            </w:r>
            <w:r w:rsidR="00D46564" w:rsidRPr="004E3C15">
              <w:rPr>
                <w:spacing w:val="-3"/>
              </w:rPr>
              <w:t>%</w:t>
            </w:r>
          </w:p>
        </w:tc>
      </w:tr>
      <w:tr w:rsidR="00D46564" w:rsidRPr="008079E9" w14:paraId="1B6C0FFF" w14:textId="77777777" w:rsidTr="004E3C15">
        <w:tc>
          <w:tcPr>
            <w:tcW w:w="4900" w:type="dxa"/>
            <w:tcBorders>
              <w:top w:val="nil"/>
              <w:left w:val="nil"/>
              <w:right w:val="nil"/>
            </w:tcBorders>
          </w:tcPr>
          <w:p w14:paraId="1AF08D29" w14:textId="77777777" w:rsidR="00D46564" w:rsidRPr="00B2361E" w:rsidRDefault="00D46564" w:rsidP="00F629BA">
            <w:pPr>
              <w:pStyle w:val="Tabletext"/>
              <w:rPr>
                <w:color w:val="auto"/>
              </w:rPr>
            </w:pPr>
            <w:r w:rsidRPr="00F629BA">
              <w:t>Self-pay</w:t>
            </w:r>
          </w:p>
        </w:tc>
        <w:tc>
          <w:tcPr>
            <w:tcW w:w="1043" w:type="dxa"/>
            <w:tcBorders>
              <w:top w:val="nil"/>
              <w:left w:val="nil"/>
              <w:right w:val="nil"/>
            </w:tcBorders>
            <w:shd w:val="clear" w:color="auto" w:fill="EFF4F5"/>
            <w:vAlign w:val="bottom"/>
          </w:tcPr>
          <w:p w14:paraId="196417D1" w14:textId="3613E5A5" w:rsidR="00D46564" w:rsidRPr="004E3C15" w:rsidRDefault="004E3C15" w:rsidP="00D73661">
            <w:pPr>
              <w:pStyle w:val="Tabletext"/>
              <w:keepNext/>
              <w:keepLines/>
              <w:jc w:val="right"/>
              <w:rPr>
                <w:b/>
                <w:bCs/>
              </w:rPr>
            </w:pPr>
            <w:r w:rsidRPr="004E3C15">
              <w:rPr>
                <w:b/>
                <w:bCs/>
              </w:rPr>
              <w:t>156.2</w:t>
            </w:r>
          </w:p>
        </w:tc>
        <w:tc>
          <w:tcPr>
            <w:tcW w:w="1043" w:type="dxa"/>
            <w:tcBorders>
              <w:top w:val="nil"/>
              <w:left w:val="nil"/>
              <w:right w:val="nil"/>
            </w:tcBorders>
            <w:vAlign w:val="bottom"/>
          </w:tcPr>
          <w:p w14:paraId="2FF27010" w14:textId="1ED08507" w:rsidR="00D46564" w:rsidRPr="00D46564" w:rsidRDefault="00D46564" w:rsidP="00D73661">
            <w:pPr>
              <w:pStyle w:val="Tabletext"/>
              <w:keepNext/>
              <w:keepLines/>
              <w:jc w:val="right"/>
              <w:rPr>
                <w:color w:val="auto"/>
              </w:rPr>
            </w:pPr>
            <w:r w:rsidRPr="00D46564">
              <w:rPr>
                <w:bCs/>
                <w:spacing w:val="-1"/>
              </w:rPr>
              <w:t>146</w:t>
            </w:r>
            <w:r w:rsidRPr="00D46564">
              <w:rPr>
                <w:bCs/>
              </w:rPr>
              <w:t>.</w:t>
            </w:r>
            <w:r w:rsidRPr="00D46564">
              <w:rPr>
                <w:bCs/>
                <w:spacing w:val="-1"/>
              </w:rPr>
              <w:t>1</w:t>
            </w:r>
          </w:p>
        </w:tc>
        <w:tc>
          <w:tcPr>
            <w:tcW w:w="1043" w:type="dxa"/>
            <w:tcBorders>
              <w:top w:val="nil"/>
              <w:left w:val="nil"/>
              <w:right w:val="nil"/>
            </w:tcBorders>
            <w:vAlign w:val="bottom"/>
          </w:tcPr>
          <w:p w14:paraId="02C1E611" w14:textId="72469B61" w:rsidR="00D46564" w:rsidRPr="00B2361E" w:rsidRDefault="004E3C15" w:rsidP="00D73661">
            <w:pPr>
              <w:pStyle w:val="Tabletext"/>
              <w:keepNext/>
              <w:keepLines/>
              <w:jc w:val="right"/>
              <w:rPr>
                <w:color w:val="auto"/>
              </w:rPr>
            </w:pPr>
            <w:r>
              <w:rPr>
                <w:spacing w:val="-3"/>
              </w:rPr>
              <w:t>6</w:t>
            </w:r>
            <w:r w:rsidR="00D46564">
              <w:rPr>
                <w:spacing w:val="-3"/>
              </w:rPr>
              <w:t>.9</w:t>
            </w:r>
            <w:r w:rsidR="00D46564" w:rsidRPr="00B2361E">
              <w:t>%</w:t>
            </w:r>
          </w:p>
        </w:tc>
        <w:tc>
          <w:tcPr>
            <w:tcW w:w="1043" w:type="dxa"/>
            <w:tcBorders>
              <w:top w:val="nil"/>
              <w:left w:val="nil"/>
              <w:right w:val="nil"/>
            </w:tcBorders>
            <w:vAlign w:val="bottom"/>
          </w:tcPr>
          <w:p w14:paraId="63A3BBE4" w14:textId="5243C861" w:rsidR="00D46564" w:rsidRPr="00B2361E" w:rsidRDefault="004E3C15" w:rsidP="004E3C15">
            <w:pPr>
              <w:pStyle w:val="Tabletext"/>
              <w:keepNext/>
              <w:keepLines/>
              <w:jc w:val="right"/>
              <w:rPr>
                <w:color w:val="auto"/>
              </w:rPr>
            </w:pPr>
            <w:r>
              <w:rPr>
                <w:spacing w:val="-3"/>
              </w:rPr>
              <w:t>6.6</w:t>
            </w:r>
            <w:r w:rsidR="00D46564" w:rsidRPr="00B2361E">
              <w:rPr>
                <w:spacing w:val="-3"/>
              </w:rPr>
              <w:t>%</w:t>
            </w:r>
          </w:p>
        </w:tc>
      </w:tr>
      <w:tr w:rsidR="004E3C15" w:rsidRPr="008079E9" w14:paraId="4887B62C" w14:textId="77777777" w:rsidTr="004E3C15">
        <w:tc>
          <w:tcPr>
            <w:tcW w:w="4900" w:type="dxa"/>
            <w:tcBorders>
              <w:top w:val="nil"/>
              <w:left w:val="nil"/>
              <w:bottom w:val="single" w:sz="4" w:space="0" w:color="93B7BB"/>
              <w:right w:val="nil"/>
            </w:tcBorders>
          </w:tcPr>
          <w:p w14:paraId="067659D1" w14:textId="755225C6" w:rsidR="004E3C15" w:rsidRPr="00E86B07" w:rsidRDefault="004E3C15" w:rsidP="001D36EF">
            <w:pPr>
              <w:pStyle w:val="Tabletext"/>
            </w:pPr>
            <w:r w:rsidRPr="00E86B07">
              <w:t xml:space="preserve">Other </w:t>
            </w:r>
            <w:r w:rsidRPr="00E86B07">
              <w:rPr>
                <w:vertAlign w:val="superscript"/>
              </w:rPr>
              <w:t>(2)</w:t>
            </w:r>
          </w:p>
        </w:tc>
        <w:tc>
          <w:tcPr>
            <w:tcW w:w="1043" w:type="dxa"/>
            <w:tcBorders>
              <w:top w:val="nil"/>
              <w:left w:val="nil"/>
              <w:bottom w:val="single" w:sz="4" w:space="0" w:color="93B7BB"/>
              <w:right w:val="nil"/>
            </w:tcBorders>
            <w:shd w:val="clear" w:color="auto" w:fill="EFF4F5"/>
            <w:vAlign w:val="bottom"/>
          </w:tcPr>
          <w:p w14:paraId="0560559C" w14:textId="0B92C2D3" w:rsidR="004E3C15" w:rsidRPr="004E3C15" w:rsidRDefault="004E3C15" w:rsidP="004E3C15">
            <w:pPr>
              <w:pStyle w:val="Tabletext"/>
              <w:keepNext/>
              <w:keepLines/>
              <w:jc w:val="right"/>
              <w:rPr>
                <w:b/>
                <w:bCs/>
              </w:rPr>
            </w:pPr>
            <w:r w:rsidRPr="004E3C15">
              <w:rPr>
                <w:b/>
                <w:bCs/>
              </w:rPr>
              <w:t>31.8</w:t>
            </w:r>
          </w:p>
        </w:tc>
        <w:tc>
          <w:tcPr>
            <w:tcW w:w="1043" w:type="dxa"/>
            <w:tcBorders>
              <w:top w:val="nil"/>
              <w:left w:val="nil"/>
              <w:bottom w:val="single" w:sz="4" w:space="0" w:color="93B7BB"/>
              <w:right w:val="nil"/>
            </w:tcBorders>
            <w:vAlign w:val="bottom"/>
          </w:tcPr>
          <w:p w14:paraId="5BC0FB5E" w14:textId="1848BF2B" w:rsidR="004E3C15" w:rsidRPr="00D46564" w:rsidRDefault="004E3C15" w:rsidP="00C5684F">
            <w:pPr>
              <w:pStyle w:val="Tabletext"/>
              <w:jc w:val="right"/>
              <w:rPr>
                <w:bCs/>
              </w:rPr>
            </w:pPr>
            <w:r w:rsidRPr="00D46564">
              <w:rPr>
                <w:bCs/>
              </w:rPr>
              <w:t>31</w:t>
            </w:r>
            <w:r w:rsidRPr="00D46564">
              <w:rPr>
                <w:bCs/>
                <w:spacing w:val="-3"/>
              </w:rPr>
              <w:t>.</w:t>
            </w:r>
            <w:r w:rsidRPr="00D46564">
              <w:rPr>
                <w:bCs/>
              </w:rPr>
              <w:t>6</w:t>
            </w:r>
          </w:p>
        </w:tc>
        <w:tc>
          <w:tcPr>
            <w:tcW w:w="1043" w:type="dxa"/>
            <w:tcBorders>
              <w:top w:val="nil"/>
              <w:left w:val="nil"/>
              <w:bottom w:val="single" w:sz="4" w:space="0" w:color="93B7BB"/>
              <w:right w:val="nil"/>
            </w:tcBorders>
            <w:vAlign w:val="bottom"/>
          </w:tcPr>
          <w:p w14:paraId="157819BF" w14:textId="39DA9609" w:rsidR="004E3C15" w:rsidRDefault="004E3C15" w:rsidP="004E3C15">
            <w:pPr>
              <w:pStyle w:val="Tabletext"/>
              <w:jc w:val="right"/>
            </w:pPr>
            <w:r>
              <w:t>0</w:t>
            </w:r>
            <w:r w:rsidRPr="00B2361E">
              <w:t>.</w:t>
            </w:r>
            <w:r>
              <w:t>6</w:t>
            </w:r>
            <w:r w:rsidRPr="00B2361E">
              <w:rPr>
                <w:spacing w:val="-3"/>
              </w:rPr>
              <w:t>%</w:t>
            </w:r>
          </w:p>
        </w:tc>
        <w:tc>
          <w:tcPr>
            <w:tcW w:w="1043" w:type="dxa"/>
            <w:tcBorders>
              <w:top w:val="nil"/>
              <w:left w:val="nil"/>
              <w:bottom w:val="single" w:sz="4" w:space="0" w:color="93B7BB"/>
              <w:right w:val="nil"/>
            </w:tcBorders>
            <w:vAlign w:val="bottom"/>
          </w:tcPr>
          <w:p w14:paraId="3B806AA3" w14:textId="11BAA0B4" w:rsidR="004E3C15" w:rsidRPr="004E3C15" w:rsidRDefault="004E3C15" w:rsidP="004E3C15">
            <w:pPr>
              <w:pStyle w:val="Tabletext"/>
              <w:keepNext/>
              <w:keepLines/>
              <w:jc w:val="right"/>
              <w:rPr>
                <w:spacing w:val="-3"/>
              </w:rPr>
            </w:pPr>
            <w:r w:rsidRPr="004E3C15">
              <w:rPr>
                <w:spacing w:val="-3"/>
              </w:rPr>
              <w:t>0.3%</w:t>
            </w:r>
          </w:p>
        </w:tc>
      </w:tr>
      <w:tr w:rsidR="00B36FD1" w:rsidRPr="008079E9" w14:paraId="4D2E2137" w14:textId="77777777" w:rsidTr="004E3C15">
        <w:tc>
          <w:tcPr>
            <w:tcW w:w="4900" w:type="dxa"/>
            <w:tcBorders>
              <w:top w:val="nil"/>
              <w:left w:val="nil"/>
              <w:bottom w:val="single" w:sz="4" w:space="0" w:color="93B7BB"/>
              <w:right w:val="nil"/>
            </w:tcBorders>
          </w:tcPr>
          <w:p w14:paraId="778EC952" w14:textId="77777777" w:rsidR="00B36FD1" w:rsidRPr="00E86B07" w:rsidRDefault="00B36FD1" w:rsidP="001D36EF">
            <w:pPr>
              <w:pStyle w:val="Tabletext"/>
            </w:pPr>
          </w:p>
        </w:tc>
        <w:tc>
          <w:tcPr>
            <w:tcW w:w="1043" w:type="dxa"/>
            <w:tcBorders>
              <w:top w:val="nil"/>
              <w:left w:val="nil"/>
              <w:bottom w:val="single" w:sz="4" w:space="0" w:color="93B7BB"/>
              <w:right w:val="nil"/>
            </w:tcBorders>
            <w:shd w:val="clear" w:color="auto" w:fill="EFF4F5"/>
            <w:vAlign w:val="bottom"/>
          </w:tcPr>
          <w:p w14:paraId="3BCE39B6" w14:textId="6C0547FC" w:rsidR="00B36FD1" w:rsidRPr="004E3C15" w:rsidRDefault="00B36FD1" w:rsidP="004E3C15">
            <w:pPr>
              <w:pStyle w:val="Tabletext"/>
              <w:keepNext/>
              <w:keepLines/>
              <w:jc w:val="right"/>
              <w:rPr>
                <w:b/>
                <w:bCs/>
              </w:rPr>
            </w:pPr>
            <w:r w:rsidRPr="00E86B07">
              <w:rPr>
                <w:b/>
                <w:bCs/>
              </w:rPr>
              <w:t>884.8</w:t>
            </w:r>
          </w:p>
        </w:tc>
        <w:tc>
          <w:tcPr>
            <w:tcW w:w="1043" w:type="dxa"/>
            <w:tcBorders>
              <w:top w:val="nil"/>
              <w:left w:val="nil"/>
              <w:bottom w:val="single" w:sz="4" w:space="0" w:color="93B7BB"/>
              <w:right w:val="nil"/>
            </w:tcBorders>
            <w:vAlign w:val="bottom"/>
          </w:tcPr>
          <w:p w14:paraId="7188DCBF" w14:textId="21A77C9E" w:rsidR="00B36FD1" w:rsidRPr="00D46564" w:rsidRDefault="00B36FD1" w:rsidP="00C5684F">
            <w:pPr>
              <w:pStyle w:val="Tabletext"/>
              <w:jc w:val="right"/>
              <w:rPr>
                <w:bCs/>
              </w:rPr>
            </w:pPr>
            <w:r w:rsidRPr="00B2361E">
              <w:rPr>
                <w:b/>
                <w:bCs/>
              </w:rPr>
              <w:t>856</w:t>
            </w:r>
            <w:r w:rsidRPr="00B2361E">
              <w:rPr>
                <w:b/>
                <w:bCs/>
                <w:spacing w:val="-3"/>
              </w:rPr>
              <w:t>.</w:t>
            </w:r>
            <w:r w:rsidRPr="00B2361E">
              <w:rPr>
                <w:b/>
                <w:bCs/>
              </w:rPr>
              <w:t>0</w:t>
            </w:r>
          </w:p>
        </w:tc>
        <w:tc>
          <w:tcPr>
            <w:tcW w:w="1043" w:type="dxa"/>
            <w:tcBorders>
              <w:top w:val="nil"/>
              <w:left w:val="nil"/>
              <w:bottom w:val="single" w:sz="4" w:space="0" w:color="93B7BB"/>
              <w:right w:val="nil"/>
            </w:tcBorders>
            <w:vAlign w:val="bottom"/>
          </w:tcPr>
          <w:p w14:paraId="2A897F3A" w14:textId="2C4F3282" w:rsidR="00B36FD1" w:rsidRDefault="00B36FD1" w:rsidP="004E3C15">
            <w:pPr>
              <w:pStyle w:val="Tabletext"/>
              <w:jc w:val="right"/>
            </w:pPr>
            <w:r>
              <w:rPr>
                <w:b/>
                <w:bCs/>
                <w:spacing w:val="-1"/>
              </w:rPr>
              <w:t>3</w:t>
            </w:r>
            <w:r w:rsidRPr="00B2361E">
              <w:rPr>
                <w:b/>
                <w:bCs/>
              </w:rPr>
              <w:t>.</w:t>
            </w:r>
            <w:r>
              <w:rPr>
                <w:b/>
                <w:bCs/>
              </w:rPr>
              <w:t>4</w:t>
            </w:r>
            <w:r w:rsidRPr="00B2361E">
              <w:rPr>
                <w:b/>
                <w:bCs/>
                <w:spacing w:val="-1"/>
              </w:rPr>
              <w:t>%</w:t>
            </w:r>
          </w:p>
        </w:tc>
        <w:tc>
          <w:tcPr>
            <w:tcW w:w="1043" w:type="dxa"/>
            <w:tcBorders>
              <w:top w:val="nil"/>
              <w:left w:val="nil"/>
              <w:bottom w:val="single" w:sz="4" w:space="0" w:color="93B7BB"/>
              <w:right w:val="nil"/>
            </w:tcBorders>
            <w:vAlign w:val="bottom"/>
          </w:tcPr>
          <w:p w14:paraId="77E2A703" w14:textId="4E06B494" w:rsidR="00B36FD1" w:rsidRPr="004E3C15" w:rsidRDefault="00B36FD1" w:rsidP="004E3C15">
            <w:pPr>
              <w:pStyle w:val="Tabletext"/>
              <w:keepNext/>
              <w:keepLines/>
              <w:jc w:val="right"/>
              <w:rPr>
                <w:spacing w:val="-3"/>
              </w:rPr>
            </w:pPr>
            <w:r>
              <w:rPr>
                <w:b/>
                <w:bCs/>
                <w:spacing w:val="-3"/>
              </w:rPr>
              <w:t>2</w:t>
            </w:r>
            <w:r w:rsidRPr="00B2361E">
              <w:rPr>
                <w:b/>
                <w:bCs/>
                <w:spacing w:val="-3"/>
              </w:rPr>
              <w:t>.5%</w:t>
            </w:r>
          </w:p>
        </w:tc>
      </w:tr>
      <w:tr w:rsidR="00B36FD1" w:rsidRPr="008079E9" w14:paraId="68BAA3F4" w14:textId="77777777" w:rsidTr="00D73661">
        <w:tc>
          <w:tcPr>
            <w:tcW w:w="4900" w:type="dxa"/>
            <w:tcBorders>
              <w:top w:val="single" w:sz="2" w:space="0" w:color="93B7BB"/>
              <w:left w:val="nil"/>
              <w:bottom w:val="nil"/>
              <w:right w:val="nil"/>
            </w:tcBorders>
          </w:tcPr>
          <w:p w14:paraId="0BAB010D" w14:textId="77777777" w:rsidR="00B36FD1" w:rsidRPr="00B2361E" w:rsidRDefault="00B36FD1" w:rsidP="00C5684F">
            <w:pPr>
              <w:pStyle w:val="Tabletext"/>
              <w:rPr>
                <w:color w:val="auto"/>
              </w:rPr>
            </w:pPr>
            <w:r w:rsidRPr="00715548">
              <w:t>Of which:</w:t>
            </w:r>
          </w:p>
        </w:tc>
        <w:tc>
          <w:tcPr>
            <w:tcW w:w="1043" w:type="dxa"/>
            <w:vMerge w:val="restart"/>
            <w:tcBorders>
              <w:top w:val="single" w:sz="2" w:space="0" w:color="93B7BB"/>
              <w:left w:val="nil"/>
              <w:bottom w:val="nil"/>
              <w:right w:val="nil"/>
            </w:tcBorders>
            <w:shd w:val="clear" w:color="auto" w:fill="EFF4F5"/>
            <w:vAlign w:val="bottom"/>
          </w:tcPr>
          <w:p w14:paraId="473EC857" w14:textId="013D85A5" w:rsidR="00B36FD1" w:rsidRPr="00B36FD1" w:rsidRDefault="00B36FD1" w:rsidP="00B36FD1">
            <w:pPr>
              <w:pStyle w:val="Tabletext"/>
              <w:keepNext/>
              <w:keepLines/>
              <w:jc w:val="right"/>
              <w:rPr>
                <w:b/>
                <w:bCs/>
              </w:rPr>
            </w:pPr>
            <w:r w:rsidRPr="00B36FD1">
              <w:rPr>
                <w:b/>
                <w:bCs/>
              </w:rPr>
              <w:t>598.3</w:t>
            </w:r>
          </w:p>
        </w:tc>
        <w:tc>
          <w:tcPr>
            <w:tcW w:w="1043" w:type="dxa"/>
            <w:vMerge w:val="restart"/>
            <w:tcBorders>
              <w:top w:val="single" w:sz="2" w:space="0" w:color="93B7BB"/>
              <w:left w:val="nil"/>
              <w:bottom w:val="nil"/>
              <w:right w:val="nil"/>
            </w:tcBorders>
            <w:vAlign w:val="bottom"/>
          </w:tcPr>
          <w:p w14:paraId="6A6053C4" w14:textId="77777777" w:rsidR="00B36FD1" w:rsidRPr="00F61F0C" w:rsidRDefault="00B36FD1" w:rsidP="00D46564">
            <w:pPr>
              <w:pStyle w:val="Tabletext"/>
              <w:jc w:val="right"/>
              <w:rPr>
                <w:bCs/>
                <w:color w:val="auto"/>
              </w:rPr>
            </w:pPr>
          </w:p>
          <w:p w14:paraId="4F4F6D62" w14:textId="0C7A685D" w:rsidR="00B36FD1" w:rsidRPr="00F61F0C" w:rsidRDefault="00B36FD1" w:rsidP="00C5684F">
            <w:pPr>
              <w:pStyle w:val="Tabletext"/>
              <w:jc w:val="right"/>
              <w:rPr>
                <w:color w:val="auto"/>
              </w:rPr>
            </w:pPr>
            <w:r w:rsidRPr="00F61F0C">
              <w:rPr>
                <w:bCs/>
              </w:rPr>
              <w:t>572</w:t>
            </w:r>
            <w:r w:rsidRPr="00F61F0C">
              <w:rPr>
                <w:bCs/>
                <w:spacing w:val="-3"/>
              </w:rPr>
              <w:t>.9</w:t>
            </w:r>
          </w:p>
        </w:tc>
        <w:tc>
          <w:tcPr>
            <w:tcW w:w="1043" w:type="dxa"/>
            <w:vMerge w:val="restart"/>
            <w:tcBorders>
              <w:top w:val="single" w:sz="2" w:space="0" w:color="93B7BB"/>
              <w:left w:val="nil"/>
              <w:bottom w:val="nil"/>
              <w:right w:val="nil"/>
            </w:tcBorders>
            <w:vAlign w:val="bottom"/>
          </w:tcPr>
          <w:p w14:paraId="35243480" w14:textId="77777777" w:rsidR="00B36FD1" w:rsidRPr="00B2361E" w:rsidRDefault="00B36FD1" w:rsidP="00C5684F">
            <w:pPr>
              <w:pStyle w:val="Tabletext"/>
              <w:jc w:val="right"/>
              <w:rPr>
                <w:color w:val="auto"/>
              </w:rPr>
            </w:pPr>
          </w:p>
          <w:p w14:paraId="48FEDB8E" w14:textId="45C33839" w:rsidR="00B36FD1" w:rsidRPr="00B2361E" w:rsidRDefault="00B36FD1" w:rsidP="00B36FD1">
            <w:pPr>
              <w:pStyle w:val="Tabletext"/>
              <w:jc w:val="right"/>
              <w:rPr>
                <w:color w:val="auto"/>
              </w:rPr>
            </w:pPr>
            <w:r>
              <w:t>4.4</w:t>
            </w:r>
            <w:r w:rsidRPr="00B2361E">
              <w:rPr>
                <w:spacing w:val="-3"/>
              </w:rPr>
              <w:t>%</w:t>
            </w:r>
          </w:p>
        </w:tc>
        <w:tc>
          <w:tcPr>
            <w:tcW w:w="1043" w:type="dxa"/>
            <w:vMerge w:val="restart"/>
            <w:tcBorders>
              <w:top w:val="single" w:sz="2" w:space="0" w:color="93B7BB"/>
              <w:left w:val="nil"/>
              <w:bottom w:val="nil"/>
              <w:right w:val="nil"/>
            </w:tcBorders>
            <w:vAlign w:val="bottom"/>
          </w:tcPr>
          <w:p w14:paraId="7439B43E" w14:textId="77777777" w:rsidR="00B36FD1" w:rsidRPr="00B2361E" w:rsidRDefault="00B36FD1" w:rsidP="00C5684F">
            <w:pPr>
              <w:pStyle w:val="Tabletext"/>
              <w:jc w:val="right"/>
              <w:rPr>
                <w:color w:val="auto"/>
              </w:rPr>
            </w:pPr>
          </w:p>
          <w:p w14:paraId="64C4B0AC" w14:textId="108C4784" w:rsidR="00B36FD1" w:rsidRPr="00B2361E" w:rsidRDefault="00B36FD1" w:rsidP="00B36FD1">
            <w:pPr>
              <w:pStyle w:val="Tabletext"/>
              <w:jc w:val="right"/>
              <w:rPr>
                <w:color w:val="auto"/>
              </w:rPr>
            </w:pPr>
            <w:r>
              <w:t>3.</w:t>
            </w:r>
            <w:r w:rsidRPr="00B2361E">
              <w:t>1</w:t>
            </w:r>
            <w:r w:rsidRPr="00B2361E">
              <w:rPr>
                <w:spacing w:val="-3"/>
              </w:rPr>
              <w:t>%</w:t>
            </w:r>
          </w:p>
        </w:tc>
      </w:tr>
      <w:tr w:rsidR="00B36FD1" w:rsidRPr="008079E9" w14:paraId="6E370CBF" w14:textId="77777777" w:rsidTr="00D73661">
        <w:tc>
          <w:tcPr>
            <w:tcW w:w="4900" w:type="dxa"/>
            <w:tcBorders>
              <w:top w:val="nil"/>
              <w:left w:val="nil"/>
              <w:bottom w:val="nil"/>
              <w:right w:val="nil"/>
            </w:tcBorders>
          </w:tcPr>
          <w:p w14:paraId="5B30AFF1" w14:textId="77777777" w:rsidR="00B36FD1" w:rsidRPr="00B2361E" w:rsidRDefault="00B36FD1" w:rsidP="00C5684F">
            <w:pPr>
              <w:pStyle w:val="Tabletext"/>
              <w:rPr>
                <w:color w:val="auto"/>
              </w:rPr>
            </w:pPr>
            <w:r w:rsidRPr="00F629BA">
              <w:t>In-patient/daycase</w:t>
            </w:r>
          </w:p>
        </w:tc>
        <w:tc>
          <w:tcPr>
            <w:tcW w:w="1043" w:type="dxa"/>
            <w:vMerge/>
            <w:tcBorders>
              <w:top w:val="single" w:sz="2" w:space="0" w:color="93B7BB"/>
              <w:left w:val="nil"/>
              <w:bottom w:val="nil"/>
              <w:right w:val="nil"/>
            </w:tcBorders>
            <w:shd w:val="clear" w:color="auto" w:fill="EFF4F5"/>
            <w:vAlign w:val="bottom"/>
          </w:tcPr>
          <w:p w14:paraId="75DA8465" w14:textId="77777777" w:rsidR="00B36FD1" w:rsidRPr="00B36FD1" w:rsidRDefault="00B36FD1" w:rsidP="00B36FD1">
            <w:pPr>
              <w:pStyle w:val="Tabletext"/>
              <w:keepNext/>
              <w:keepLines/>
              <w:jc w:val="right"/>
              <w:rPr>
                <w:b/>
                <w:bCs/>
              </w:rPr>
            </w:pPr>
          </w:p>
        </w:tc>
        <w:tc>
          <w:tcPr>
            <w:tcW w:w="1043" w:type="dxa"/>
            <w:vMerge/>
            <w:tcBorders>
              <w:top w:val="single" w:sz="2" w:space="0" w:color="93B7BB"/>
              <w:left w:val="nil"/>
              <w:bottom w:val="nil"/>
              <w:right w:val="nil"/>
            </w:tcBorders>
            <w:vAlign w:val="bottom"/>
          </w:tcPr>
          <w:p w14:paraId="5B15FA58" w14:textId="77777777" w:rsidR="00B36FD1" w:rsidRPr="00F61F0C" w:rsidRDefault="00B36FD1" w:rsidP="00C5684F">
            <w:pPr>
              <w:pStyle w:val="Tabletext"/>
              <w:jc w:val="right"/>
              <w:rPr>
                <w:color w:val="auto"/>
              </w:rPr>
            </w:pPr>
          </w:p>
        </w:tc>
        <w:tc>
          <w:tcPr>
            <w:tcW w:w="1043" w:type="dxa"/>
            <w:vMerge/>
            <w:tcBorders>
              <w:top w:val="single" w:sz="2" w:space="0" w:color="93B7BB"/>
              <w:left w:val="nil"/>
              <w:bottom w:val="nil"/>
              <w:right w:val="nil"/>
            </w:tcBorders>
            <w:vAlign w:val="bottom"/>
          </w:tcPr>
          <w:p w14:paraId="7531F249" w14:textId="77777777" w:rsidR="00B36FD1" w:rsidRPr="00B2361E" w:rsidRDefault="00B36FD1" w:rsidP="00C5684F">
            <w:pPr>
              <w:pStyle w:val="Tabletext"/>
              <w:jc w:val="right"/>
              <w:rPr>
                <w:color w:val="auto"/>
              </w:rPr>
            </w:pPr>
          </w:p>
        </w:tc>
        <w:tc>
          <w:tcPr>
            <w:tcW w:w="1043" w:type="dxa"/>
            <w:vMerge/>
            <w:tcBorders>
              <w:top w:val="single" w:sz="2" w:space="0" w:color="93B7BB"/>
              <w:left w:val="nil"/>
              <w:bottom w:val="nil"/>
              <w:right w:val="nil"/>
            </w:tcBorders>
            <w:vAlign w:val="bottom"/>
          </w:tcPr>
          <w:p w14:paraId="1828BF13" w14:textId="77777777" w:rsidR="00B36FD1" w:rsidRPr="00B2361E" w:rsidRDefault="00B36FD1" w:rsidP="00C5684F">
            <w:pPr>
              <w:pStyle w:val="Tabletext"/>
              <w:jc w:val="right"/>
              <w:rPr>
                <w:color w:val="auto"/>
              </w:rPr>
            </w:pPr>
          </w:p>
        </w:tc>
      </w:tr>
      <w:tr w:rsidR="00B36FD1" w:rsidRPr="008079E9" w14:paraId="401C2401" w14:textId="77777777" w:rsidTr="00D73661">
        <w:tc>
          <w:tcPr>
            <w:tcW w:w="4900" w:type="dxa"/>
            <w:tcBorders>
              <w:top w:val="nil"/>
              <w:left w:val="nil"/>
              <w:bottom w:val="nil"/>
              <w:right w:val="nil"/>
            </w:tcBorders>
          </w:tcPr>
          <w:p w14:paraId="50F0FB37" w14:textId="77777777" w:rsidR="00B36FD1" w:rsidRPr="00B2361E" w:rsidRDefault="00B36FD1" w:rsidP="00C5684F">
            <w:pPr>
              <w:pStyle w:val="Tabletext"/>
              <w:rPr>
                <w:color w:val="auto"/>
              </w:rPr>
            </w:pPr>
            <w:r w:rsidRPr="00B36FD1">
              <w:t>Out-patient</w:t>
            </w:r>
          </w:p>
        </w:tc>
        <w:tc>
          <w:tcPr>
            <w:tcW w:w="1043" w:type="dxa"/>
            <w:tcBorders>
              <w:top w:val="nil"/>
              <w:left w:val="nil"/>
              <w:bottom w:val="nil"/>
              <w:right w:val="nil"/>
            </w:tcBorders>
            <w:shd w:val="clear" w:color="auto" w:fill="EFF4F5"/>
            <w:vAlign w:val="bottom"/>
          </w:tcPr>
          <w:p w14:paraId="47E24253" w14:textId="58270168" w:rsidR="00B36FD1" w:rsidRPr="00B36FD1" w:rsidRDefault="00B36FD1" w:rsidP="00B36FD1">
            <w:pPr>
              <w:pStyle w:val="Tabletext"/>
              <w:keepNext/>
              <w:keepLines/>
              <w:jc w:val="right"/>
              <w:rPr>
                <w:b/>
                <w:bCs/>
              </w:rPr>
            </w:pPr>
            <w:r w:rsidRPr="00B36FD1">
              <w:rPr>
                <w:b/>
                <w:bCs/>
              </w:rPr>
              <w:t>254.7</w:t>
            </w:r>
          </w:p>
        </w:tc>
        <w:tc>
          <w:tcPr>
            <w:tcW w:w="1043" w:type="dxa"/>
            <w:tcBorders>
              <w:top w:val="nil"/>
              <w:left w:val="nil"/>
              <w:bottom w:val="nil"/>
              <w:right w:val="nil"/>
            </w:tcBorders>
            <w:vAlign w:val="bottom"/>
          </w:tcPr>
          <w:p w14:paraId="4E173FB8" w14:textId="2A8EFE60" w:rsidR="00B36FD1" w:rsidRPr="00F61F0C" w:rsidRDefault="00B36FD1" w:rsidP="00C5684F">
            <w:pPr>
              <w:pStyle w:val="Tabletext"/>
              <w:jc w:val="right"/>
              <w:rPr>
                <w:color w:val="auto"/>
              </w:rPr>
            </w:pPr>
            <w:r w:rsidRPr="00F61F0C">
              <w:rPr>
                <w:bCs/>
              </w:rPr>
              <w:t>251</w:t>
            </w:r>
            <w:r w:rsidRPr="00F61F0C">
              <w:rPr>
                <w:bCs/>
                <w:spacing w:val="-3"/>
              </w:rPr>
              <w:t>.</w:t>
            </w:r>
            <w:r w:rsidRPr="00F61F0C">
              <w:rPr>
                <w:bCs/>
              </w:rPr>
              <w:t>5</w:t>
            </w:r>
          </w:p>
        </w:tc>
        <w:tc>
          <w:tcPr>
            <w:tcW w:w="1043" w:type="dxa"/>
            <w:tcBorders>
              <w:top w:val="nil"/>
              <w:left w:val="nil"/>
              <w:bottom w:val="nil"/>
              <w:right w:val="nil"/>
            </w:tcBorders>
            <w:vAlign w:val="bottom"/>
          </w:tcPr>
          <w:p w14:paraId="6CF46050" w14:textId="4EB306D5" w:rsidR="00B36FD1" w:rsidRPr="00B2361E" w:rsidRDefault="00B36FD1" w:rsidP="00B36FD1">
            <w:pPr>
              <w:pStyle w:val="Tabletext"/>
              <w:jc w:val="right"/>
              <w:rPr>
                <w:color w:val="auto"/>
              </w:rPr>
            </w:pPr>
            <w:r>
              <w:t>1</w:t>
            </w:r>
            <w:r w:rsidRPr="00B2361E">
              <w:rPr>
                <w:spacing w:val="-3"/>
              </w:rPr>
              <w:t>.</w:t>
            </w:r>
            <w:r>
              <w:rPr>
                <w:spacing w:val="-3"/>
              </w:rPr>
              <w:t>3</w:t>
            </w:r>
            <w:r w:rsidRPr="00B2361E">
              <w:rPr>
                <w:spacing w:val="-3"/>
              </w:rPr>
              <w:t>%</w:t>
            </w:r>
          </w:p>
        </w:tc>
        <w:tc>
          <w:tcPr>
            <w:tcW w:w="1043" w:type="dxa"/>
            <w:tcBorders>
              <w:top w:val="nil"/>
              <w:left w:val="nil"/>
              <w:bottom w:val="nil"/>
              <w:right w:val="nil"/>
            </w:tcBorders>
            <w:vAlign w:val="bottom"/>
          </w:tcPr>
          <w:p w14:paraId="761FE188" w14:textId="25E0936F" w:rsidR="00B36FD1" w:rsidRPr="00B2361E" w:rsidRDefault="00B36FD1" w:rsidP="00B36FD1">
            <w:pPr>
              <w:pStyle w:val="Tabletext"/>
              <w:jc w:val="right"/>
              <w:rPr>
                <w:color w:val="auto"/>
              </w:rPr>
            </w:pPr>
            <w:r>
              <w:rPr>
                <w:spacing w:val="-3"/>
              </w:rPr>
              <w:t>1</w:t>
            </w:r>
            <w:r w:rsidRPr="00B2361E">
              <w:rPr>
                <w:spacing w:val="-3"/>
              </w:rPr>
              <w:t>.</w:t>
            </w:r>
            <w:r>
              <w:rPr>
                <w:spacing w:val="-3"/>
              </w:rPr>
              <w:t>4</w:t>
            </w:r>
            <w:r w:rsidRPr="00B2361E">
              <w:rPr>
                <w:spacing w:val="-3"/>
              </w:rPr>
              <w:t>%</w:t>
            </w:r>
          </w:p>
        </w:tc>
      </w:tr>
      <w:tr w:rsidR="00715548" w:rsidRPr="008079E9" w14:paraId="37E26AAE" w14:textId="77777777" w:rsidTr="00715548">
        <w:tc>
          <w:tcPr>
            <w:tcW w:w="4900" w:type="dxa"/>
            <w:tcBorders>
              <w:top w:val="nil"/>
              <w:left w:val="nil"/>
              <w:bottom w:val="single" w:sz="4" w:space="0" w:color="93B7BB"/>
              <w:right w:val="nil"/>
            </w:tcBorders>
          </w:tcPr>
          <w:p w14:paraId="1D971E82" w14:textId="5D6842E7" w:rsidR="00715548" w:rsidRPr="00B2361E" w:rsidRDefault="00715548" w:rsidP="00C5684F">
            <w:pPr>
              <w:pStyle w:val="Tabletext"/>
            </w:pPr>
            <w:r w:rsidRPr="00B2361E">
              <w:t>Oth</w:t>
            </w:r>
            <w:r w:rsidRPr="00B36FD1">
              <w:t>er</w:t>
            </w:r>
          </w:p>
        </w:tc>
        <w:tc>
          <w:tcPr>
            <w:tcW w:w="1043" w:type="dxa"/>
            <w:tcBorders>
              <w:top w:val="nil"/>
              <w:left w:val="nil"/>
              <w:bottom w:val="single" w:sz="4" w:space="0" w:color="93B7BB"/>
              <w:right w:val="nil"/>
            </w:tcBorders>
            <w:shd w:val="clear" w:color="auto" w:fill="EFF4F5"/>
            <w:vAlign w:val="bottom"/>
          </w:tcPr>
          <w:p w14:paraId="497A2975" w14:textId="237EA4B3" w:rsidR="00715548" w:rsidRPr="00B36FD1" w:rsidRDefault="00715548" w:rsidP="00B36FD1">
            <w:pPr>
              <w:pStyle w:val="Tabletext"/>
              <w:keepNext/>
              <w:keepLines/>
              <w:jc w:val="right"/>
              <w:rPr>
                <w:b/>
                <w:bCs/>
              </w:rPr>
            </w:pPr>
            <w:r w:rsidRPr="00B36FD1">
              <w:rPr>
                <w:b/>
                <w:bCs/>
              </w:rPr>
              <w:t>31.8</w:t>
            </w:r>
          </w:p>
        </w:tc>
        <w:tc>
          <w:tcPr>
            <w:tcW w:w="1043" w:type="dxa"/>
            <w:tcBorders>
              <w:top w:val="nil"/>
              <w:left w:val="nil"/>
              <w:bottom w:val="single" w:sz="4" w:space="0" w:color="93B7BB"/>
              <w:right w:val="nil"/>
            </w:tcBorders>
            <w:vAlign w:val="bottom"/>
          </w:tcPr>
          <w:p w14:paraId="6E954B3D" w14:textId="4C812FDB" w:rsidR="00715548" w:rsidRPr="00B36FD1" w:rsidRDefault="00715548" w:rsidP="00C5684F">
            <w:pPr>
              <w:pStyle w:val="Tabletext"/>
              <w:jc w:val="right"/>
              <w:rPr>
                <w:bCs/>
              </w:rPr>
            </w:pPr>
            <w:r w:rsidRPr="00B36FD1">
              <w:rPr>
                <w:bCs/>
              </w:rPr>
              <w:t>31.6</w:t>
            </w:r>
          </w:p>
        </w:tc>
        <w:tc>
          <w:tcPr>
            <w:tcW w:w="1043" w:type="dxa"/>
            <w:tcBorders>
              <w:top w:val="nil"/>
              <w:left w:val="nil"/>
              <w:bottom w:val="single" w:sz="4" w:space="0" w:color="93B7BB"/>
              <w:right w:val="nil"/>
            </w:tcBorders>
            <w:vAlign w:val="bottom"/>
          </w:tcPr>
          <w:p w14:paraId="707445EA" w14:textId="1315D3AE" w:rsidR="00715548" w:rsidRDefault="00715548" w:rsidP="00B36FD1">
            <w:pPr>
              <w:pStyle w:val="Tabletext"/>
              <w:jc w:val="right"/>
            </w:pPr>
            <w:r>
              <w:t>0</w:t>
            </w:r>
            <w:r w:rsidRPr="00B36FD1">
              <w:t>.6%</w:t>
            </w:r>
          </w:p>
        </w:tc>
        <w:tc>
          <w:tcPr>
            <w:tcW w:w="1043" w:type="dxa"/>
            <w:tcBorders>
              <w:top w:val="nil"/>
              <w:left w:val="nil"/>
              <w:bottom w:val="single" w:sz="4" w:space="0" w:color="93B7BB"/>
              <w:right w:val="nil"/>
            </w:tcBorders>
            <w:vAlign w:val="bottom"/>
          </w:tcPr>
          <w:p w14:paraId="37AB0B6F" w14:textId="47667BFF" w:rsidR="00715548" w:rsidRPr="00B36FD1" w:rsidRDefault="00715548" w:rsidP="00B36FD1">
            <w:pPr>
              <w:pStyle w:val="Tabletext"/>
              <w:keepNext/>
              <w:keepLines/>
              <w:jc w:val="right"/>
              <w:rPr>
                <w:spacing w:val="-3"/>
              </w:rPr>
            </w:pPr>
            <w:r w:rsidRPr="00B36FD1">
              <w:rPr>
                <w:spacing w:val="-3"/>
              </w:rPr>
              <w:t>0.3%</w:t>
            </w:r>
          </w:p>
        </w:tc>
      </w:tr>
      <w:tr w:rsidR="00715548" w:rsidRPr="008079E9" w14:paraId="0631FFD7" w14:textId="77777777" w:rsidTr="00715548">
        <w:tc>
          <w:tcPr>
            <w:tcW w:w="4900" w:type="dxa"/>
            <w:tcBorders>
              <w:top w:val="single" w:sz="4" w:space="0" w:color="93B7BB"/>
              <w:left w:val="nil"/>
              <w:bottom w:val="single" w:sz="4" w:space="0" w:color="93B7BB"/>
              <w:right w:val="nil"/>
            </w:tcBorders>
          </w:tcPr>
          <w:p w14:paraId="49EDB290" w14:textId="77777777" w:rsidR="00715548" w:rsidRPr="00B2361E" w:rsidRDefault="00715548" w:rsidP="00C5684F">
            <w:pPr>
              <w:pStyle w:val="Tabletext"/>
            </w:pPr>
          </w:p>
        </w:tc>
        <w:tc>
          <w:tcPr>
            <w:tcW w:w="1043" w:type="dxa"/>
            <w:tcBorders>
              <w:top w:val="single" w:sz="4" w:space="0" w:color="93B7BB"/>
              <w:left w:val="nil"/>
              <w:bottom w:val="single" w:sz="4" w:space="0" w:color="93B7BB"/>
              <w:right w:val="nil"/>
            </w:tcBorders>
            <w:shd w:val="clear" w:color="auto" w:fill="EFF4F5"/>
            <w:vAlign w:val="bottom"/>
          </w:tcPr>
          <w:p w14:paraId="3EE807F8" w14:textId="6181B392" w:rsidR="00715548" w:rsidRPr="00B36FD1" w:rsidRDefault="00715548" w:rsidP="00B36FD1">
            <w:pPr>
              <w:pStyle w:val="Tabletext"/>
              <w:keepNext/>
              <w:keepLines/>
              <w:jc w:val="right"/>
              <w:rPr>
                <w:b/>
                <w:bCs/>
              </w:rPr>
            </w:pPr>
            <w:r w:rsidRPr="00E86B07">
              <w:rPr>
                <w:b/>
                <w:bCs/>
              </w:rPr>
              <w:t>884.8</w:t>
            </w:r>
          </w:p>
        </w:tc>
        <w:tc>
          <w:tcPr>
            <w:tcW w:w="1043" w:type="dxa"/>
            <w:tcBorders>
              <w:top w:val="single" w:sz="4" w:space="0" w:color="93B7BB"/>
              <w:left w:val="nil"/>
              <w:bottom w:val="single" w:sz="4" w:space="0" w:color="93B7BB"/>
              <w:right w:val="nil"/>
            </w:tcBorders>
            <w:vAlign w:val="bottom"/>
          </w:tcPr>
          <w:p w14:paraId="66867DC6" w14:textId="77FA51F7" w:rsidR="00715548" w:rsidRPr="00715548" w:rsidRDefault="00715548" w:rsidP="00C5684F">
            <w:pPr>
              <w:pStyle w:val="Tabletext"/>
              <w:jc w:val="right"/>
              <w:rPr>
                <w:b/>
                <w:bCs/>
              </w:rPr>
            </w:pPr>
            <w:r w:rsidRPr="00715548">
              <w:rPr>
                <w:b/>
                <w:bCs/>
              </w:rPr>
              <w:t>856</w:t>
            </w:r>
            <w:r w:rsidRPr="00715548">
              <w:rPr>
                <w:b/>
                <w:bCs/>
                <w:spacing w:val="-3"/>
              </w:rPr>
              <w:t>.</w:t>
            </w:r>
            <w:r w:rsidRPr="00715548">
              <w:rPr>
                <w:b/>
                <w:bCs/>
              </w:rPr>
              <w:t>0</w:t>
            </w:r>
          </w:p>
        </w:tc>
        <w:tc>
          <w:tcPr>
            <w:tcW w:w="1043" w:type="dxa"/>
            <w:tcBorders>
              <w:top w:val="single" w:sz="4" w:space="0" w:color="93B7BB"/>
              <w:left w:val="nil"/>
              <w:bottom w:val="single" w:sz="4" w:space="0" w:color="93B7BB"/>
              <w:right w:val="nil"/>
            </w:tcBorders>
            <w:vAlign w:val="bottom"/>
          </w:tcPr>
          <w:p w14:paraId="5093F61C" w14:textId="59276A6A" w:rsidR="00715548" w:rsidRPr="00715548" w:rsidRDefault="00715548" w:rsidP="00B36FD1">
            <w:pPr>
              <w:pStyle w:val="Tabletext"/>
              <w:jc w:val="right"/>
              <w:rPr>
                <w:b/>
              </w:rPr>
            </w:pPr>
            <w:r w:rsidRPr="00715548">
              <w:rPr>
                <w:b/>
              </w:rPr>
              <w:t>3.4%</w:t>
            </w:r>
          </w:p>
        </w:tc>
        <w:tc>
          <w:tcPr>
            <w:tcW w:w="1043" w:type="dxa"/>
            <w:tcBorders>
              <w:top w:val="single" w:sz="4" w:space="0" w:color="93B7BB"/>
              <w:left w:val="nil"/>
              <w:bottom w:val="single" w:sz="4" w:space="0" w:color="93B7BB"/>
              <w:right w:val="nil"/>
            </w:tcBorders>
            <w:vAlign w:val="bottom"/>
          </w:tcPr>
          <w:p w14:paraId="57558090" w14:textId="582A3DBF" w:rsidR="00715548" w:rsidRPr="00715548" w:rsidRDefault="00715548" w:rsidP="00B36FD1">
            <w:pPr>
              <w:pStyle w:val="Tabletext"/>
              <w:keepNext/>
              <w:keepLines/>
              <w:jc w:val="right"/>
              <w:rPr>
                <w:b/>
                <w:spacing w:val="-3"/>
              </w:rPr>
            </w:pPr>
            <w:r w:rsidRPr="00715548">
              <w:rPr>
                <w:b/>
                <w:spacing w:val="-3"/>
              </w:rPr>
              <w:t>2.5%</w:t>
            </w:r>
          </w:p>
        </w:tc>
      </w:tr>
      <w:tr w:rsidR="00715548" w:rsidRPr="008079E9" w14:paraId="53BCD7B2" w14:textId="77777777" w:rsidTr="00D73661">
        <w:tc>
          <w:tcPr>
            <w:tcW w:w="4900" w:type="dxa"/>
            <w:tcBorders>
              <w:top w:val="single" w:sz="2" w:space="0" w:color="93B7BB"/>
              <w:left w:val="nil"/>
              <w:bottom w:val="single" w:sz="4" w:space="0" w:color="93B7BB"/>
              <w:right w:val="nil"/>
            </w:tcBorders>
          </w:tcPr>
          <w:p w14:paraId="0D4D2B19" w14:textId="77777777" w:rsidR="00715548" w:rsidRPr="00B2361E" w:rsidRDefault="00715548" w:rsidP="00C5684F">
            <w:pPr>
              <w:pStyle w:val="Tabletext"/>
              <w:rPr>
                <w:color w:val="auto"/>
              </w:rPr>
            </w:pPr>
          </w:p>
        </w:tc>
        <w:tc>
          <w:tcPr>
            <w:tcW w:w="2086" w:type="dxa"/>
            <w:gridSpan w:val="2"/>
            <w:tcBorders>
              <w:top w:val="single" w:sz="2" w:space="0" w:color="93B7BB"/>
              <w:left w:val="nil"/>
              <w:bottom w:val="single" w:sz="4" w:space="0" w:color="93B7BB"/>
              <w:right w:val="nil"/>
            </w:tcBorders>
            <w:shd w:val="clear" w:color="auto" w:fill="EFF4F5"/>
            <w:vAlign w:val="bottom"/>
          </w:tcPr>
          <w:p w14:paraId="647B112E" w14:textId="77777777" w:rsidR="00715548" w:rsidRPr="00B2361E" w:rsidRDefault="00715548" w:rsidP="00C5684F">
            <w:pPr>
              <w:pStyle w:val="Tabletext"/>
              <w:jc w:val="right"/>
              <w:rPr>
                <w:b/>
                <w:bCs/>
                <w:color w:val="auto"/>
              </w:rPr>
            </w:pPr>
          </w:p>
        </w:tc>
        <w:tc>
          <w:tcPr>
            <w:tcW w:w="2086" w:type="dxa"/>
            <w:gridSpan w:val="2"/>
            <w:tcBorders>
              <w:top w:val="single" w:sz="2" w:space="0" w:color="93B7BB"/>
              <w:left w:val="nil"/>
              <w:bottom w:val="single" w:sz="4" w:space="0" w:color="93B7BB"/>
              <w:right w:val="nil"/>
            </w:tcBorders>
            <w:vAlign w:val="bottom"/>
          </w:tcPr>
          <w:p w14:paraId="604F0D44" w14:textId="77777777" w:rsidR="00715548" w:rsidRPr="00B2361E" w:rsidRDefault="00715548" w:rsidP="00C5684F">
            <w:pPr>
              <w:pStyle w:val="Tabletext"/>
              <w:jc w:val="right"/>
              <w:rPr>
                <w:color w:val="auto"/>
              </w:rPr>
            </w:pPr>
          </w:p>
        </w:tc>
      </w:tr>
      <w:tr w:rsidR="00715548" w:rsidRPr="008079E9" w14:paraId="063DB6A9" w14:textId="77777777" w:rsidTr="00D73661">
        <w:tc>
          <w:tcPr>
            <w:tcW w:w="4900" w:type="dxa"/>
            <w:tcBorders>
              <w:top w:val="single" w:sz="4" w:space="0" w:color="93B7BB"/>
              <w:left w:val="nil"/>
              <w:bottom w:val="nil"/>
              <w:right w:val="nil"/>
            </w:tcBorders>
          </w:tcPr>
          <w:p w14:paraId="0EABBA62" w14:textId="22EE7E50" w:rsidR="00715548" w:rsidRPr="00B2361E" w:rsidRDefault="00715548" w:rsidP="0069569F">
            <w:pPr>
              <w:pStyle w:val="Tabletext"/>
              <w:rPr>
                <w:b/>
                <w:bCs/>
                <w:color w:val="auto"/>
              </w:rPr>
            </w:pPr>
            <w:r w:rsidRPr="00B2361E">
              <w:rPr>
                <w:b/>
                <w:bCs/>
                <w:spacing w:val="-3"/>
              </w:rPr>
              <w:t>Numb</w:t>
            </w:r>
            <w:r w:rsidRPr="00B2361E">
              <w:rPr>
                <w:b/>
                <w:bCs/>
              </w:rPr>
              <w:t>er</w:t>
            </w:r>
            <w:r w:rsidRPr="00B2361E">
              <w:rPr>
                <w:b/>
                <w:bCs/>
                <w:spacing w:val="-13"/>
              </w:rPr>
              <w:t xml:space="preserve"> </w:t>
            </w:r>
            <w:r w:rsidRPr="00B2361E">
              <w:rPr>
                <w:b/>
                <w:bCs/>
              </w:rPr>
              <w:t>(</w:t>
            </w:r>
            <w:r w:rsidR="0069569F">
              <w:rPr>
                <w:b/>
                <w:bCs/>
              </w:rPr>
              <w:t>’</w:t>
            </w:r>
            <w:r w:rsidRPr="00B2361E">
              <w:rPr>
                <w:b/>
                <w:bCs/>
                <w:spacing w:val="-3"/>
              </w:rPr>
              <w:t>000s</w:t>
            </w:r>
            <w:r w:rsidRPr="00B2361E">
              <w:rPr>
                <w:b/>
                <w:bCs/>
              </w:rPr>
              <w:t>)</w:t>
            </w:r>
          </w:p>
        </w:tc>
        <w:tc>
          <w:tcPr>
            <w:tcW w:w="1043" w:type="dxa"/>
            <w:vMerge w:val="restart"/>
            <w:tcBorders>
              <w:top w:val="single" w:sz="4" w:space="0" w:color="93B7BB"/>
              <w:left w:val="nil"/>
              <w:bottom w:val="nil"/>
              <w:right w:val="nil"/>
            </w:tcBorders>
            <w:shd w:val="clear" w:color="auto" w:fill="EFF4F5"/>
            <w:vAlign w:val="bottom"/>
          </w:tcPr>
          <w:p w14:paraId="1862EBDD" w14:textId="678FAF09" w:rsidR="00715548" w:rsidRPr="00715548" w:rsidRDefault="00715548" w:rsidP="00715548">
            <w:pPr>
              <w:pStyle w:val="Tabletext"/>
              <w:keepNext/>
              <w:keepLines/>
              <w:jc w:val="right"/>
              <w:rPr>
                <w:b/>
                <w:bCs/>
              </w:rPr>
            </w:pPr>
            <w:r w:rsidRPr="00715548">
              <w:rPr>
                <w:b/>
                <w:bCs/>
              </w:rPr>
              <w:t>270.0</w:t>
            </w:r>
          </w:p>
        </w:tc>
        <w:tc>
          <w:tcPr>
            <w:tcW w:w="1043" w:type="dxa"/>
            <w:vMerge w:val="restart"/>
            <w:tcBorders>
              <w:top w:val="single" w:sz="4" w:space="0" w:color="93B7BB"/>
              <w:left w:val="nil"/>
              <w:bottom w:val="nil"/>
              <w:right w:val="nil"/>
            </w:tcBorders>
            <w:vAlign w:val="bottom"/>
          </w:tcPr>
          <w:p w14:paraId="686E6318" w14:textId="77777777" w:rsidR="00715548" w:rsidRPr="00B2361E" w:rsidRDefault="00715548" w:rsidP="007819FB">
            <w:pPr>
              <w:pStyle w:val="Tabletext"/>
              <w:jc w:val="right"/>
              <w:rPr>
                <w:b/>
                <w:bCs/>
                <w:color w:val="auto"/>
              </w:rPr>
            </w:pPr>
          </w:p>
          <w:p w14:paraId="49A83E64" w14:textId="6DDC7997" w:rsidR="00715548" w:rsidRPr="00B2361E" w:rsidRDefault="00715548" w:rsidP="00C5684F">
            <w:pPr>
              <w:pStyle w:val="Tabletext"/>
              <w:jc w:val="right"/>
              <w:rPr>
                <w:b/>
                <w:bCs/>
                <w:color w:val="auto"/>
              </w:rPr>
            </w:pPr>
            <w:r w:rsidRPr="00B2361E">
              <w:rPr>
                <w:b/>
                <w:bCs/>
              </w:rPr>
              <w:t>260</w:t>
            </w:r>
            <w:r w:rsidRPr="00B2361E">
              <w:rPr>
                <w:b/>
                <w:bCs/>
                <w:spacing w:val="-3"/>
              </w:rPr>
              <w:t>.</w:t>
            </w:r>
            <w:r w:rsidRPr="00B2361E">
              <w:rPr>
                <w:b/>
                <w:bCs/>
              </w:rPr>
              <w:t>3</w:t>
            </w:r>
          </w:p>
        </w:tc>
        <w:tc>
          <w:tcPr>
            <w:tcW w:w="1043" w:type="dxa"/>
            <w:vMerge w:val="restart"/>
            <w:tcBorders>
              <w:top w:val="single" w:sz="4" w:space="0" w:color="93B7BB"/>
              <w:left w:val="nil"/>
              <w:bottom w:val="nil"/>
              <w:right w:val="nil"/>
            </w:tcBorders>
            <w:vAlign w:val="bottom"/>
          </w:tcPr>
          <w:p w14:paraId="566E6442" w14:textId="77777777" w:rsidR="00715548" w:rsidRPr="00B2361E" w:rsidRDefault="00715548" w:rsidP="00C5684F">
            <w:pPr>
              <w:pStyle w:val="Tabletext"/>
              <w:jc w:val="right"/>
              <w:rPr>
                <w:b/>
                <w:bCs/>
                <w:color w:val="auto"/>
              </w:rPr>
            </w:pPr>
          </w:p>
          <w:p w14:paraId="64092153" w14:textId="72783A54" w:rsidR="00715548" w:rsidRPr="00B2361E" w:rsidRDefault="00715548" w:rsidP="00715548">
            <w:pPr>
              <w:pStyle w:val="Tabletext"/>
              <w:jc w:val="right"/>
              <w:rPr>
                <w:b/>
                <w:bCs/>
                <w:color w:val="auto"/>
              </w:rPr>
            </w:pPr>
            <w:r>
              <w:rPr>
                <w:b/>
                <w:bCs/>
              </w:rPr>
              <w:t>3</w:t>
            </w:r>
            <w:r w:rsidRPr="00B2361E">
              <w:rPr>
                <w:b/>
                <w:bCs/>
              </w:rPr>
              <w:t>.</w:t>
            </w:r>
            <w:r>
              <w:rPr>
                <w:b/>
                <w:bCs/>
              </w:rPr>
              <w:t>7</w:t>
            </w:r>
            <w:r w:rsidRPr="00B2361E">
              <w:rPr>
                <w:b/>
                <w:bCs/>
              </w:rPr>
              <w:t>%</w:t>
            </w:r>
          </w:p>
        </w:tc>
        <w:tc>
          <w:tcPr>
            <w:tcW w:w="1043" w:type="dxa"/>
            <w:vMerge w:val="restart"/>
            <w:tcBorders>
              <w:top w:val="single" w:sz="4" w:space="0" w:color="93B7BB"/>
              <w:left w:val="nil"/>
              <w:bottom w:val="nil"/>
              <w:right w:val="nil"/>
            </w:tcBorders>
            <w:vAlign w:val="bottom"/>
          </w:tcPr>
          <w:p w14:paraId="4D5055D4" w14:textId="77777777" w:rsidR="00715548" w:rsidRPr="00B2361E" w:rsidRDefault="00715548" w:rsidP="00C5684F">
            <w:pPr>
              <w:pStyle w:val="Tabletext"/>
              <w:jc w:val="right"/>
              <w:rPr>
                <w:b/>
                <w:bCs/>
                <w:color w:val="auto"/>
              </w:rPr>
            </w:pPr>
          </w:p>
          <w:p w14:paraId="1DF97657" w14:textId="03AA8EFD" w:rsidR="00715548" w:rsidRPr="00B2361E" w:rsidRDefault="00715548" w:rsidP="00715548">
            <w:pPr>
              <w:pStyle w:val="Tabletext"/>
              <w:jc w:val="right"/>
              <w:rPr>
                <w:b/>
                <w:bCs/>
                <w:color w:val="auto"/>
              </w:rPr>
            </w:pPr>
            <w:r>
              <w:rPr>
                <w:b/>
                <w:bCs/>
                <w:spacing w:val="-3"/>
              </w:rPr>
              <w:t>3</w:t>
            </w:r>
            <w:r w:rsidRPr="00B2361E">
              <w:rPr>
                <w:b/>
                <w:bCs/>
              </w:rPr>
              <w:t>.</w:t>
            </w:r>
            <w:r>
              <w:rPr>
                <w:b/>
                <w:bCs/>
              </w:rPr>
              <w:t>3</w:t>
            </w:r>
            <w:r w:rsidRPr="00B2361E">
              <w:rPr>
                <w:b/>
                <w:bCs/>
                <w:spacing w:val="-3"/>
              </w:rPr>
              <w:t>%</w:t>
            </w:r>
          </w:p>
        </w:tc>
      </w:tr>
      <w:tr w:rsidR="00715548" w:rsidRPr="008079E9" w14:paraId="1195764A" w14:textId="77777777" w:rsidTr="00D73661">
        <w:tc>
          <w:tcPr>
            <w:tcW w:w="4900" w:type="dxa"/>
            <w:tcBorders>
              <w:top w:val="nil"/>
              <w:left w:val="nil"/>
              <w:bottom w:val="nil"/>
              <w:right w:val="nil"/>
            </w:tcBorders>
          </w:tcPr>
          <w:p w14:paraId="089516B6" w14:textId="73370686" w:rsidR="00715548" w:rsidRPr="00F629BA" w:rsidRDefault="00715548" w:rsidP="001D200E">
            <w:pPr>
              <w:pStyle w:val="Tabletext"/>
              <w:rPr>
                <w:b/>
                <w:bCs/>
                <w:color w:val="auto"/>
              </w:rPr>
            </w:pPr>
            <w:r w:rsidRPr="00F629BA">
              <w:rPr>
                <w:b/>
              </w:rPr>
              <w:t xml:space="preserve">Total in-patient/daycase </w:t>
            </w:r>
            <w:r w:rsidR="001D200E">
              <w:rPr>
                <w:b/>
              </w:rPr>
              <w:t>admissions</w:t>
            </w:r>
          </w:p>
        </w:tc>
        <w:tc>
          <w:tcPr>
            <w:tcW w:w="1043" w:type="dxa"/>
            <w:vMerge/>
            <w:tcBorders>
              <w:top w:val="single" w:sz="4" w:space="0" w:color="93B7BB"/>
              <w:left w:val="nil"/>
              <w:bottom w:val="nil"/>
              <w:right w:val="nil"/>
            </w:tcBorders>
            <w:shd w:val="clear" w:color="auto" w:fill="EFF4F5"/>
            <w:vAlign w:val="bottom"/>
          </w:tcPr>
          <w:p w14:paraId="5A950920" w14:textId="77777777" w:rsidR="00715548" w:rsidRPr="00B2361E" w:rsidRDefault="00715548" w:rsidP="00C5684F">
            <w:pPr>
              <w:pStyle w:val="Tabletext"/>
              <w:jc w:val="right"/>
              <w:rPr>
                <w:b/>
                <w:bCs/>
                <w:color w:val="auto"/>
              </w:rPr>
            </w:pPr>
          </w:p>
        </w:tc>
        <w:tc>
          <w:tcPr>
            <w:tcW w:w="1043" w:type="dxa"/>
            <w:vMerge/>
            <w:tcBorders>
              <w:top w:val="single" w:sz="4" w:space="0" w:color="93B7BB"/>
              <w:left w:val="nil"/>
              <w:bottom w:val="nil"/>
              <w:right w:val="nil"/>
            </w:tcBorders>
            <w:vAlign w:val="bottom"/>
          </w:tcPr>
          <w:p w14:paraId="228BF5A1" w14:textId="77777777" w:rsidR="00715548" w:rsidRPr="00B2361E" w:rsidRDefault="00715548" w:rsidP="00C5684F">
            <w:pPr>
              <w:pStyle w:val="Tabletext"/>
              <w:jc w:val="right"/>
              <w:rPr>
                <w:color w:val="auto"/>
              </w:rPr>
            </w:pPr>
          </w:p>
        </w:tc>
        <w:tc>
          <w:tcPr>
            <w:tcW w:w="1043" w:type="dxa"/>
            <w:vMerge/>
            <w:tcBorders>
              <w:top w:val="single" w:sz="4" w:space="0" w:color="93B7BB"/>
              <w:left w:val="nil"/>
              <w:bottom w:val="nil"/>
              <w:right w:val="nil"/>
            </w:tcBorders>
            <w:vAlign w:val="bottom"/>
          </w:tcPr>
          <w:p w14:paraId="6E5AF5A1" w14:textId="77777777" w:rsidR="00715548" w:rsidRPr="00B2361E" w:rsidRDefault="00715548" w:rsidP="00C5684F">
            <w:pPr>
              <w:pStyle w:val="Tabletext"/>
              <w:jc w:val="right"/>
              <w:rPr>
                <w:color w:val="auto"/>
              </w:rPr>
            </w:pPr>
          </w:p>
        </w:tc>
        <w:tc>
          <w:tcPr>
            <w:tcW w:w="1043" w:type="dxa"/>
            <w:vMerge/>
            <w:tcBorders>
              <w:top w:val="single" w:sz="4" w:space="0" w:color="93B7BB"/>
              <w:left w:val="nil"/>
              <w:bottom w:val="nil"/>
              <w:right w:val="nil"/>
            </w:tcBorders>
            <w:vAlign w:val="bottom"/>
          </w:tcPr>
          <w:p w14:paraId="328E2104" w14:textId="77777777" w:rsidR="00715548" w:rsidRPr="00B2361E" w:rsidRDefault="00715548" w:rsidP="00C5684F">
            <w:pPr>
              <w:pStyle w:val="Tabletext"/>
              <w:jc w:val="right"/>
              <w:rPr>
                <w:color w:val="auto"/>
              </w:rPr>
            </w:pPr>
          </w:p>
        </w:tc>
      </w:tr>
      <w:tr w:rsidR="00715548" w:rsidRPr="008079E9" w14:paraId="601AFBED" w14:textId="77777777" w:rsidTr="00D73661">
        <w:tc>
          <w:tcPr>
            <w:tcW w:w="4900" w:type="dxa"/>
            <w:tcBorders>
              <w:top w:val="nil"/>
              <w:left w:val="nil"/>
              <w:bottom w:val="nil"/>
              <w:right w:val="nil"/>
            </w:tcBorders>
          </w:tcPr>
          <w:p w14:paraId="2DE7B493" w14:textId="77777777" w:rsidR="00715548" w:rsidRPr="00B2361E" w:rsidRDefault="00715548" w:rsidP="00C5684F">
            <w:pPr>
              <w:pStyle w:val="Tabletext"/>
              <w:rPr>
                <w:color w:val="auto"/>
              </w:rPr>
            </w:pPr>
            <w:r w:rsidRPr="00715548">
              <w:t>Of which:</w:t>
            </w:r>
          </w:p>
        </w:tc>
        <w:tc>
          <w:tcPr>
            <w:tcW w:w="1043" w:type="dxa"/>
            <w:tcBorders>
              <w:top w:val="nil"/>
              <w:left w:val="nil"/>
              <w:bottom w:val="nil"/>
              <w:right w:val="nil"/>
            </w:tcBorders>
            <w:shd w:val="clear" w:color="auto" w:fill="EFF4F5"/>
            <w:vAlign w:val="bottom"/>
          </w:tcPr>
          <w:p w14:paraId="2D072E04" w14:textId="77777777" w:rsidR="00715548" w:rsidRPr="00B2361E" w:rsidRDefault="00715548" w:rsidP="00C5684F">
            <w:pPr>
              <w:pStyle w:val="Tabletext"/>
              <w:jc w:val="right"/>
              <w:rPr>
                <w:b/>
                <w:bCs/>
                <w:color w:val="auto"/>
              </w:rPr>
            </w:pPr>
          </w:p>
        </w:tc>
        <w:tc>
          <w:tcPr>
            <w:tcW w:w="1043" w:type="dxa"/>
            <w:tcBorders>
              <w:top w:val="nil"/>
              <w:left w:val="nil"/>
              <w:bottom w:val="nil"/>
              <w:right w:val="nil"/>
            </w:tcBorders>
            <w:vAlign w:val="bottom"/>
          </w:tcPr>
          <w:p w14:paraId="077D154A" w14:textId="77777777" w:rsidR="00715548" w:rsidRPr="00B2361E" w:rsidRDefault="00715548" w:rsidP="00C5684F">
            <w:pPr>
              <w:pStyle w:val="Tabletext"/>
              <w:jc w:val="right"/>
              <w:rPr>
                <w:color w:val="auto"/>
              </w:rPr>
            </w:pPr>
          </w:p>
        </w:tc>
        <w:tc>
          <w:tcPr>
            <w:tcW w:w="1043" w:type="dxa"/>
            <w:tcBorders>
              <w:top w:val="nil"/>
              <w:left w:val="nil"/>
              <w:bottom w:val="nil"/>
              <w:right w:val="nil"/>
            </w:tcBorders>
            <w:vAlign w:val="bottom"/>
          </w:tcPr>
          <w:p w14:paraId="64A67672" w14:textId="77777777" w:rsidR="00715548" w:rsidRPr="00B2361E" w:rsidRDefault="00715548" w:rsidP="00C5684F">
            <w:pPr>
              <w:pStyle w:val="Tabletext"/>
              <w:jc w:val="right"/>
              <w:rPr>
                <w:color w:val="auto"/>
              </w:rPr>
            </w:pPr>
          </w:p>
        </w:tc>
        <w:tc>
          <w:tcPr>
            <w:tcW w:w="1043" w:type="dxa"/>
            <w:tcBorders>
              <w:top w:val="nil"/>
              <w:left w:val="nil"/>
              <w:bottom w:val="nil"/>
              <w:right w:val="nil"/>
            </w:tcBorders>
            <w:vAlign w:val="bottom"/>
          </w:tcPr>
          <w:p w14:paraId="611AE6F4" w14:textId="77777777" w:rsidR="00715548" w:rsidRPr="00B2361E" w:rsidRDefault="00715548" w:rsidP="00C5684F">
            <w:pPr>
              <w:pStyle w:val="Tabletext"/>
              <w:jc w:val="right"/>
              <w:rPr>
                <w:color w:val="auto"/>
              </w:rPr>
            </w:pPr>
          </w:p>
        </w:tc>
      </w:tr>
      <w:tr w:rsidR="00715548" w:rsidRPr="008079E9" w14:paraId="31FDA34F" w14:textId="77777777" w:rsidTr="00D73661">
        <w:tc>
          <w:tcPr>
            <w:tcW w:w="4900" w:type="dxa"/>
            <w:tcBorders>
              <w:top w:val="nil"/>
              <w:left w:val="nil"/>
              <w:bottom w:val="nil"/>
              <w:right w:val="nil"/>
            </w:tcBorders>
          </w:tcPr>
          <w:p w14:paraId="063F9269" w14:textId="77777777" w:rsidR="00715548" w:rsidRPr="001D200E" w:rsidRDefault="00715548" w:rsidP="00C5684F">
            <w:pPr>
              <w:pStyle w:val="Tabletext"/>
            </w:pPr>
            <w:r w:rsidRPr="001D200E">
              <w:t>PMI vo</w:t>
            </w:r>
            <w:r w:rsidRPr="00B2361E">
              <w:t>lum</w:t>
            </w:r>
            <w:r w:rsidRPr="001D200E">
              <w:t>e</w:t>
            </w:r>
            <w:r w:rsidRPr="00B2361E">
              <w:t>s</w:t>
            </w:r>
          </w:p>
        </w:tc>
        <w:tc>
          <w:tcPr>
            <w:tcW w:w="1043" w:type="dxa"/>
            <w:tcBorders>
              <w:top w:val="nil"/>
              <w:left w:val="nil"/>
              <w:bottom w:val="nil"/>
              <w:right w:val="nil"/>
            </w:tcBorders>
            <w:shd w:val="clear" w:color="auto" w:fill="EFF4F5"/>
            <w:vAlign w:val="bottom"/>
          </w:tcPr>
          <w:p w14:paraId="4FE07B6B" w14:textId="24D3380F" w:rsidR="00715548" w:rsidRPr="001D200E" w:rsidRDefault="001D200E" w:rsidP="001D200E">
            <w:pPr>
              <w:pStyle w:val="Tabletext"/>
              <w:keepNext/>
              <w:keepLines/>
              <w:jc w:val="right"/>
              <w:rPr>
                <w:b/>
                <w:bCs/>
              </w:rPr>
            </w:pPr>
            <w:r w:rsidRPr="001D200E">
              <w:rPr>
                <w:b/>
                <w:bCs/>
              </w:rPr>
              <w:t>126.4</w:t>
            </w:r>
          </w:p>
        </w:tc>
        <w:tc>
          <w:tcPr>
            <w:tcW w:w="1043" w:type="dxa"/>
            <w:tcBorders>
              <w:top w:val="nil"/>
              <w:left w:val="nil"/>
              <w:bottom w:val="nil"/>
              <w:right w:val="nil"/>
            </w:tcBorders>
            <w:vAlign w:val="bottom"/>
          </w:tcPr>
          <w:p w14:paraId="71EB9754" w14:textId="0D5F85C2" w:rsidR="00715548" w:rsidRPr="00F61F0C" w:rsidRDefault="00715548" w:rsidP="00C5684F">
            <w:pPr>
              <w:pStyle w:val="Tabletext"/>
              <w:jc w:val="right"/>
              <w:rPr>
                <w:color w:val="auto"/>
              </w:rPr>
            </w:pPr>
            <w:r w:rsidRPr="00F61F0C">
              <w:rPr>
                <w:bCs/>
              </w:rPr>
              <w:t>124.4</w:t>
            </w:r>
          </w:p>
        </w:tc>
        <w:tc>
          <w:tcPr>
            <w:tcW w:w="1043" w:type="dxa"/>
            <w:tcBorders>
              <w:top w:val="nil"/>
              <w:left w:val="nil"/>
              <w:bottom w:val="nil"/>
              <w:right w:val="nil"/>
            </w:tcBorders>
            <w:vAlign w:val="bottom"/>
          </w:tcPr>
          <w:p w14:paraId="76195B16" w14:textId="0E2B68E1" w:rsidR="00715548" w:rsidRPr="001D200E" w:rsidRDefault="001D200E" w:rsidP="001D200E">
            <w:pPr>
              <w:pStyle w:val="Tabletext"/>
              <w:jc w:val="right"/>
              <w:rPr>
                <w:spacing w:val="-3"/>
              </w:rPr>
            </w:pPr>
            <w:r>
              <w:rPr>
                <w:spacing w:val="-3"/>
              </w:rPr>
              <w:t>1</w:t>
            </w:r>
            <w:r w:rsidR="00715548" w:rsidRPr="001D200E">
              <w:rPr>
                <w:spacing w:val="-3"/>
              </w:rPr>
              <w:t>.</w:t>
            </w:r>
            <w:r w:rsidR="00715548" w:rsidRPr="00B2361E">
              <w:rPr>
                <w:spacing w:val="-3"/>
              </w:rPr>
              <w:t>6</w:t>
            </w:r>
            <w:r w:rsidR="00715548" w:rsidRPr="001D200E">
              <w:rPr>
                <w:spacing w:val="-3"/>
              </w:rPr>
              <w:t>%</w:t>
            </w:r>
          </w:p>
        </w:tc>
        <w:tc>
          <w:tcPr>
            <w:tcW w:w="1043" w:type="dxa"/>
            <w:tcBorders>
              <w:top w:val="nil"/>
              <w:left w:val="nil"/>
              <w:bottom w:val="nil"/>
              <w:right w:val="nil"/>
            </w:tcBorders>
            <w:vAlign w:val="bottom"/>
          </w:tcPr>
          <w:p w14:paraId="45C858A6" w14:textId="3D03E7A0" w:rsidR="00715548" w:rsidRPr="001D200E" w:rsidRDefault="001D200E" w:rsidP="001D200E">
            <w:pPr>
              <w:pStyle w:val="Tabletext"/>
              <w:jc w:val="right"/>
              <w:rPr>
                <w:spacing w:val="-3"/>
              </w:rPr>
            </w:pPr>
            <w:r>
              <w:rPr>
                <w:spacing w:val="-3"/>
              </w:rPr>
              <w:t>0</w:t>
            </w:r>
            <w:r w:rsidR="00715548" w:rsidRPr="001D200E">
              <w:rPr>
                <w:spacing w:val="-3"/>
              </w:rPr>
              <w:t>.</w:t>
            </w:r>
            <w:r>
              <w:rPr>
                <w:spacing w:val="-3"/>
              </w:rPr>
              <w:t>2</w:t>
            </w:r>
            <w:r w:rsidR="00715548" w:rsidRPr="001D200E">
              <w:rPr>
                <w:spacing w:val="-3"/>
              </w:rPr>
              <w:t>%</w:t>
            </w:r>
          </w:p>
        </w:tc>
      </w:tr>
      <w:tr w:rsidR="00715548" w:rsidRPr="008079E9" w14:paraId="0583DF48" w14:textId="77777777" w:rsidTr="00D73661">
        <w:tc>
          <w:tcPr>
            <w:tcW w:w="4900" w:type="dxa"/>
            <w:tcBorders>
              <w:top w:val="nil"/>
              <w:left w:val="nil"/>
              <w:bottom w:val="nil"/>
              <w:right w:val="nil"/>
            </w:tcBorders>
          </w:tcPr>
          <w:p w14:paraId="6A6EE0B8" w14:textId="77777777" w:rsidR="00715548" w:rsidRPr="001D200E" w:rsidRDefault="00715548" w:rsidP="00C5684F">
            <w:pPr>
              <w:pStyle w:val="Tabletext"/>
            </w:pPr>
            <w:r w:rsidRPr="001D200E">
              <w:t>NHS volumes</w:t>
            </w:r>
          </w:p>
        </w:tc>
        <w:tc>
          <w:tcPr>
            <w:tcW w:w="1043" w:type="dxa"/>
            <w:tcBorders>
              <w:top w:val="nil"/>
              <w:left w:val="nil"/>
              <w:bottom w:val="nil"/>
              <w:right w:val="nil"/>
            </w:tcBorders>
            <w:shd w:val="clear" w:color="auto" w:fill="EFF4F5"/>
            <w:vAlign w:val="bottom"/>
          </w:tcPr>
          <w:p w14:paraId="3AAFD693" w14:textId="561A6C31" w:rsidR="00715548" w:rsidRPr="001D200E" w:rsidRDefault="001D200E" w:rsidP="001D200E">
            <w:pPr>
              <w:pStyle w:val="Tabletext"/>
              <w:keepNext/>
              <w:keepLines/>
              <w:jc w:val="right"/>
              <w:rPr>
                <w:b/>
                <w:bCs/>
              </w:rPr>
            </w:pPr>
            <w:r w:rsidRPr="001D200E">
              <w:rPr>
                <w:b/>
                <w:bCs/>
              </w:rPr>
              <w:t>100.2</w:t>
            </w:r>
          </w:p>
        </w:tc>
        <w:tc>
          <w:tcPr>
            <w:tcW w:w="1043" w:type="dxa"/>
            <w:tcBorders>
              <w:top w:val="nil"/>
              <w:left w:val="nil"/>
              <w:bottom w:val="nil"/>
              <w:right w:val="nil"/>
            </w:tcBorders>
            <w:vAlign w:val="bottom"/>
          </w:tcPr>
          <w:p w14:paraId="06C7962E" w14:textId="6B930E68" w:rsidR="00715548" w:rsidRPr="00F61F0C" w:rsidRDefault="00715548" w:rsidP="00C5684F">
            <w:pPr>
              <w:pStyle w:val="Tabletext"/>
              <w:jc w:val="right"/>
              <w:rPr>
                <w:color w:val="auto"/>
              </w:rPr>
            </w:pPr>
            <w:r w:rsidRPr="00F61F0C">
              <w:rPr>
                <w:bCs/>
              </w:rPr>
              <w:t>95</w:t>
            </w:r>
            <w:r w:rsidRPr="00F61F0C">
              <w:rPr>
                <w:bCs/>
                <w:spacing w:val="-3"/>
              </w:rPr>
              <w:t>.</w:t>
            </w:r>
            <w:r w:rsidRPr="00F61F0C">
              <w:rPr>
                <w:bCs/>
              </w:rPr>
              <w:t>5</w:t>
            </w:r>
          </w:p>
        </w:tc>
        <w:tc>
          <w:tcPr>
            <w:tcW w:w="1043" w:type="dxa"/>
            <w:tcBorders>
              <w:top w:val="nil"/>
              <w:left w:val="nil"/>
              <w:bottom w:val="nil"/>
              <w:right w:val="nil"/>
            </w:tcBorders>
            <w:vAlign w:val="bottom"/>
          </w:tcPr>
          <w:p w14:paraId="31D90ED8" w14:textId="444F69B6" w:rsidR="00715548" w:rsidRPr="001D200E" w:rsidRDefault="00715548" w:rsidP="001D200E">
            <w:pPr>
              <w:pStyle w:val="Tabletext"/>
              <w:jc w:val="right"/>
              <w:rPr>
                <w:spacing w:val="-3"/>
              </w:rPr>
            </w:pPr>
            <w:r w:rsidRPr="001D200E">
              <w:rPr>
                <w:spacing w:val="-3"/>
              </w:rPr>
              <w:t>4</w:t>
            </w:r>
            <w:r w:rsidRPr="00B2361E">
              <w:rPr>
                <w:spacing w:val="-3"/>
              </w:rPr>
              <w:t>.</w:t>
            </w:r>
            <w:r w:rsidR="001D200E">
              <w:rPr>
                <w:spacing w:val="-3"/>
              </w:rPr>
              <w:t>9</w:t>
            </w:r>
            <w:r w:rsidRPr="00B2361E">
              <w:rPr>
                <w:spacing w:val="-3"/>
              </w:rPr>
              <w:t>%</w:t>
            </w:r>
          </w:p>
        </w:tc>
        <w:tc>
          <w:tcPr>
            <w:tcW w:w="1043" w:type="dxa"/>
            <w:tcBorders>
              <w:top w:val="nil"/>
              <w:left w:val="nil"/>
              <w:bottom w:val="nil"/>
              <w:right w:val="nil"/>
            </w:tcBorders>
            <w:vAlign w:val="bottom"/>
          </w:tcPr>
          <w:p w14:paraId="6F1B4DC8" w14:textId="6B78C983" w:rsidR="00715548" w:rsidRPr="00B2361E" w:rsidRDefault="001D200E" w:rsidP="001D200E">
            <w:pPr>
              <w:pStyle w:val="Tabletext"/>
              <w:jc w:val="right"/>
              <w:rPr>
                <w:color w:val="auto"/>
              </w:rPr>
            </w:pPr>
            <w:r>
              <w:t>5</w:t>
            </w:r>
            <w:r w:rsidR="00715548" w:rsidRPr="00B2361E">
              <w:rPr>
                <w:spacing w:val="-3"/>
              </w:rPr>
              <w:t>.</w:t>
            </w:r>
            <w:r>
              <w:rPr>
                <w:spacing w:val="-3"/>
              </w:rPr>
              <w:t>7</w:t>
            </w:r>
            <w:r w:rsidR="00715548" w:rsidRPr="00B2361E">
              <w:rPr>
                <w:spacing w:val="-3"/>
              </w:rPr>
              <w:t>%</w:t>
            </w:r>
          </w:p>
        </w:tc>
      </w:tr>
      <w:tr w:rsidR="00715548" w:rsidRPr="008079E9" w14:paraId="5C19CD17" w14:textId="77777777" w:rsidTr="00D73661">
        <w:tc>
          <w:tcPr>
            <w:tcW w:w="4900" w:type="dxa"/>
            <w:tcBorders>
              <w:top w:val="nil"/>
              <w:left w:val="nil"/>
              <w:bottom w:val="single" w:sz="2" w:space="0" w:color="93B7BB"/>
              <w:right w:val="nil"/>
            </w:tcBorders>
          </w:tcPr>
          <w:p w14:paraId="2F1976BE" w14:textId="77777777" w:rsidR="00715548" w:rsidRPr="001D200E" w:rsidRDefault="00715548" w:rsidP="00C5684F">
            <w:pPr>
              <w:pStyle w:val="Tabletext"/>
            </w:pPr>
            <w:r w:rsidRPr="001D200E">
              <w:t>Self-pay vo</w:t>
            </w:r>
            <w:r w:rsidRPr="00B2361E">
              <w:t>lum</w:t>
            </w:r>
            <w:r w:rsidRPr="001D200E">
              <w:t>e</w:t>
            </w:r>
            <w:r w:rsidRPr="00B2361E">
              <w:t>s</w:t>
            </w:r>
          </w:p>
        </w:tc>
        <w:tc>
          <w:tcPr>
            <w:tcW w:w="1043" w:type="dxa"/>
            <w:tcBorders>
              <w:top w:val="nil"/>
              <w:left w:val="nil"/>
              <w:bottom w:val="single" w:sz="2" w:space="0" w:color="93B7BB"/>
              <w:right w:val="nil"/>
            </w:tcBorders>
            <w:shd w:val="clear" w:color="auto" w:fill="EFF4F5"/>
            <w:vAlign w:val="bottom"/>
          </w:tcPr>
          <w:p w14:paraId="7EED2997" w14:textId="4EB57E59" w:rsidR="00715548" w:rsidRPr="001D200E" w:rsidRDefault="001D200E" w:rsidP="001D200E">
            <w:pPr>
              <w:pStyle w:val="Tabletext"/>
              <w:keepNext/>
              <w:keepLines/>
              <w:jc w:val="right"/>
              <w:rPr>
                <w:b/>
                <w:bCs/>
              </w:rPr>
            </w:pPr>
            <w:r w:rsidRPr="001D200E">
              <w:rPr>
                <w:b/>
                <w:bCs/>
              </w:rPr>
              <w:t>43.4</w:t>
            </w:r>
          </w:p>
        </w:tc>
        <w:tc>
          <w:tcPr>
            <w:tcW w:w="1043" w:type="dxa"/>
            <w:tcBorders>
              <w:top w:val="nil"/>
              <w:left w:val="nil"/>
              <w:bottom w:val="single" w:sz="2" w:space="0" w:color="93B7BB"/>
              <w:right w:val="nil"/>
            </w:tcBorders>
            <w:vAlign w:val="bottom"/>
          </w:tcPr>
          <w:p w14:paraId="6B618C80" w14:textId="2AC12844" w:rsidR="00715548" w:rsidRPr="00F61F0C" w:rsidRDefault="00715548" w:rsidP="00C5684F">
            <w:pPr>
              <w:pStyle w:val="Tabletext"/>
              <w:jc w:val="right"/>
              <w:rPr>
                <w:color w:val="auto"/>
              </w:rPr>
            </w:pPr>
            <w:r w:rsidRPr="00F61F0C">
              <w:rPr>
                <w:bCs/>
                <w:spacing w:val="-1"/>
              </w:rPr>
              <w:t>40.4</w:t>
            </w:r>
          </w:p>
        </w:tc>
        <w:tc>
          <w:tcPr>
            <w:tcW w:w="1043" w:type="dxa"/>
            <w:tcBorders>
              <w:top w:val="nil"/>
              <w:left w:val="nil"/>
              <w:bottom w:val="single" w:sz="2" w:space="0" w:color="93B7BB"/>
              <w:right w:val="nil"/>
            </w:tcBorders>
            <w:vAlign w:val="bottom"/>
          </w:tcPr>
          <w:p w14:paraId="1857F414" w14:textId="1F5C8C51" w:rsidR="00715548" w:rsidRPr="00B2361E" w:rsidRDefault="001D200E" w:rsidP="001D200E">
            <w:pPr>
              <w:pStyle w:val="Tabletext"/>
              <w:jc w:val="right"/>
              <w:rPr>
                <w:color w:val="auto"/>
              </w:rPr>
            </w:pPr>
            <w:r>
              <w:t>7</w:t>
            </w:r>
            <w:r w:rsidR="00715548" w:rsidRPr="00B2361E">
              <w:rPr>
                <w:spacing w:val="-3"/>
              </w:rPr>
              <w:t>.</w:t>
            </w:r>
            <w:r>
              <w:rPr>
                <w:spacing w:val="-3"/>
              </w:rPr>
              <w:t>4</w:t>
            </w:r>
            <w:r w:rsidR="00715548" w:rsidRPr="00B2361E">
              <w:t>%</w:t>
            </w:r>
          </w:p>
        </w:tc>
        <w:tc>
          <w:tcPr>
            <w:tcW w:w="1043" w:type="dxa"/>
            <w:tcBorders>
              <w:top w:val="nil"/>
              <w:left w:val="nil"/>
              <w:bottom w:val="single" w:sz="2" w:space="0" w:color="93B7BB"/>
              <w:right w:val="nil"/>
            </w:tcBorders>
            <w:vAlign w:val="bottom"/>
          </w:tcPr>
          <w:p w14:paraId="013B5433" w14:textId="00F60B02" w:rsidR="00715548" w:rsidRPr="00B2361E" w:rsidRDefault="001D200E" w:rsidP="00C5684F">
            <w:pPr>
              <w:pStyle w:val="Tabletext"/>
              <w:jc w:val="right"/>
              <w:rPr>
                <w:color w:val="auto"/>
              </w:rPr>
            </w:pPr>
            <w:r>
              <w:rPr>
                <w:spacing w:val="-3"/>
              </w:rPr>
              <w:t>6</w:t>
            </w:r>
            <w:r w:rsidR="00715548" w:rsidRPr="00B2361E">
              <w:t>.</w:t>
            </w:r>
            <w:r w:rsidR="00715548" w:rsidRPr="00B2361E">
              <w:rPr>
                <w:spacing w:val="-3"/>
              </w:rPr>
              <w:t>8</w:t>
            </w:r>
            <w:r w:rsidR="00715548" w:rsidRPr="00B2361E">
              <w:t>%</w:t>
            </w:r>
          </w:p>
        </w:tc>
      </w:tr>
    </w:tbl>
    <w:p w14:paraId="64DDDDC5" w14:textId="77777777" w:rsidR="00B031E4" w:rsidRDefault="00B031E4" w:rsidP="00B2361E">
      <w:pPr>
        <w:pStyle w:val="Footnote"/>
      </w:pPr>
    </w:p>
    <w:p w14:paraId="6A5D8A00" w14:textId="3C145780" w:rsidR="008254D8" w:rsidRPr="00B2361E" w:rsidRDefault="001D36EF" w:rsidP="00DD189B">
      <w:pPr>
        <w:pStyle w:val="Footnote"/>
        <w:jc w:val="both"/>
      </w:pPr>
      <w:r>
        <w:t>1</w:t>
      </w:r>
      <w:r w:rsidR="008254D8" w:rsidRPr="00B2361E">
        <w:tab/>
      </w:r>
      <w:r w:rsidR="001D200E">
        <w:rPr>
          <w:lang w:eastAsia="en-GB"/>
        </w:rPr>
        <w:t>Excludes</w:t>
      </w:r>
      <w:r w:rsidR="001D200E" w:rsidRPr="007164CD">
        <w:rPr>
          <w:lang w:eastAsia="en-GB"/>
        </w:rPr>
        <w:t xml:space="preserve"> </w:t>
      </w:r>
      <w:r w:rsidR="001D200E">
        <w:rPr>
          <w:lang w:eastAsia="en-GB"/>
        </w:rPr>
        <w:t>the impact of Spire St Saviour’s Hospital closed in September 2015, St Anthony’s Hospital acquired on 22 May 2014, and the disposal of trade and assets of the fertility business on 15 August 2014 (referred to as ‘Underlying’ in this announcement</w:t>
      </w:r>
      <w:r w:rsidR="008254D8" w:rsidRPr="00E95B10">
        <w:t>)</w:t>
      </w:r>
      <w:r w:rsidR="008254D8">
        <w:t>.</w:t>
      </w:r>
    </w:p>
    <w:p w14:paraId="21842175" w14:textId="6AAF8661" w:rsidR="008254D8" w:rsidRPr="00B2361E" w:rsidRDefault="001D36EF" w:rsidP="00DD189B">
      <w:pPr>
        <w:pStyle w:val="Footnote"/>
        <w:jc w:val="both"/>
      </w:pPr>
      <w:r>
        <w:t>2</w:t>
      </w:r>
      <w:r w:rsidR="008254D8" w:rsidRPr="00B2361E">
        <w:tab/>
        <w:t>Other revenue inc</w:t>
      </w:r>
      <w:r w:rsidR="008254D8">
        <w:t>ludes consultant revenue, third-</w:t>
      </w:r>
      <w:r w:rsidR="008254D8" w:rsidRPr="00B2361E">
        <w:t>party revenue streams (e.g. pathology services), secretarial services and commissioning for quality and innovation payments (earned for meeting</w:t>
      </w:r>
      <w:r w:rsidR="008254D8">
        <w:t xml:space="preserve"> quality targets on NHS work) (‘</w:t>
      </w:r>
      <w:r w:rsidR="008254D8" w:rsidRPr="00B2361E">
        <w:t>CQUIN</w:t>
      </w:r>
      <w:r w:rsidR="008254D8">
        <w:t>’</w:t>
      </w:r>
      <w:r w:rsidR="008254D8" w:rsidRPr="00B2361E">
        <w:t>).</w:t>
      </w:r>
    </w:p>
    <w:p w14:paraId="0E9EAD11" w14:textId="77777777" w:rsidR="00B2361E" w:rsidRPr="00B2361E" w:rsidRDefault="00B2361E" w:rsidP="00B2361E">
      <w:pPr>
        <w:pStyle w:val="Footnote"/>
      </w:pPr>
    </w:p>
    <w:p w14:paraId="78621979" w14:textId="5811C6A4" w:rsidR="00C5684F" w:rsidRPr="00B2361E" w:rsidRDefault="00AB503C" w:rsidP="00B2361E">
      <w:pPr>
        <w:pStyle w:val="Heading3"/>
      </w:pPr>
      <w:r w:rsidRPr="00B2361E">
        <w:t>GROWING REVENUE</w:t>
      </w:r>
    </w:p>
    <w:tbl>
      <w:tblPr>
        <w:tblW w:w="9072" w:type="dxa"/>
        <w:tblLayout w:type="fixed"/>
        <w:tblCellMar>
          <w:left w:w="0" w:type="dxa"/>
          <w:right w:w="57" w:type="dxa"/>
        </w:tblCellMar>
        <w:tblLook w:val="0000" w:firstRow="0" w:lastRow="0" w:firstColumn="0" w:lastColumn="0" w:noHBand="0" w:noVBand="0"/>
      </w:tblPr>
      <w:tblGrid>
        <w:gridCol w:w="1965"/>
        <w:gridCol w:w="1499"/>
        <w:gridCol w:w="930"/>
        <w:gridCol w:w="1038"/>
        <w:gridCol w:w="1089"/>
        <w:gridCol w:w="749"/>
        <w:gridCol w:w="872"/>
        <w:gridCol w:w="930"/>
      </w:tblGrid>
      <w:tr w:rsidR="00AB503C" w:rsidRPr="00AB503C" w14:paraId="227A9BC9" w14:textId="77777777" w:rsidTr="001D200E">
        <w:trPr>
          <w:trHeight w:val="425"/>
        </w:trPr>
        <w:tc>
          <w:tcPr>
            <w:tcW w:w="3464" w:type="dxa"/>
            <w:gridSpan w:val="2"/>
            <w:tcBorders>
              <w:top w:val="nil"/>
              <w:left w:val="nil"/>
              <w:bottom w:val="nil"/>
              <w:right w:val="nil"/>
            </w:tcBorders>
          </w:tcPr>
          <w:p w14:paraId="66782EEA" w14:textId="77777777" w:rsidR="00AB503C" w:rsidRPr="00AB503C" w:rsidRDefault="00AB503C" w:rsidP="00AB503C">
            <w:pPr>
              <w:pStyle w:val="Tableheading"/>
            </w:pPr>
          </w:p>
        </w:tc>
        <w:tc>
          <w:tcPr>
            <w:tcW w:w="930" w:type="dxa"/>
            <w:tcBorders>
              <w:top w:val="nil"/>
              <w:left w:val="nil"/>
              <w:right w:val="nil"/>
            </w:tcBorders>
            <w:vAlign w:val="bottom"/>
          </w:tcPr>
          <w:p w14:paraId="2BACBFDE" w14:textId="77777777" w:rsidR="00AB503C" w:rsidRPr="00AB503C" w:rsidRDefault="00AB503C" w:rsidP="00AB503C">
            <w:pPr>
              <w:pStyle w:val="Tableheading"/>
              <w:jc w:val="right"/>
            </w:pPr>
            <w:r w:rsidRPr="00AB503C">
              <w:t>In-patient/</w:t>
            </w:r>
            <w:r>
              <w:br/>
            </w:r>
            <w:r w:rsidRPr="00AB503C">
              <w:t>daycase</w:t>
            </w:r>
          </w:p>
        </w:tc>
        <w:tc>
          <w:tcPr>
            <w:tcW w:w="1038" w:type="dxa"/>
            <w:tcBorders>
              <w:top w:val="nil"/>
              <w:left w:val="nil"/>
              <w:right w:val="nil"/>
            </w:tcBorders>
            <w:vAlign w:val="bottom"/>
          </w:tcPr>
          <w:p w14:paraId="1D4980F7" w14:textId="77777777" w:rsidR="00AB503C" w:rsidRPr="00AB503C" w:rsidRDefault="00AB503C" w:rsidP="00AB503C">
            <w:pPr>
              <w:pStyle w:val="Tableheading"/>
              <w:jc w:val="right"/>
            </w:pPr>
            <w:r w:rsidRPr="00AB503C">
              <w:t>In-patient/</w:t>
            </w:r>
            <w:r>
              <w:br/>
            </w:r>
            <w:r w:rsidRPr="00AB503C">
              <w:t>daycase</w:t>
            </w:r>
          </w:p>
        </w:tc>
        <w:tc>
          <w:tcPr>
            <w:tcW w:w="3640" w:type="dxa"/>
            <w:gridSpan w:val="4"/>
            <w:tcBorders>
              <w:top w:val="nil"/>
              <w:left w:val="nil"/>
              <w:bottom w:val="nil"/>
              <w:right w:val="nil"/>
            </w:tcBorders>
          </w:tcPr>
          <w:p w14:paraId="27E54AFD" w14:textId="77777777" w:rsidR="00AB503C" w:rsidRPr="00AB503C" w:rsidRDefault="00AB503C" w:rsidP="00AB503C">
            <w:pPr>
              <w:pStyle w:val="Tableheading"/>
            </w:pPr>
          </w:p>
        </w:tc>
      </w:tr>
      <w:tr w:rsidR="001D200E" w:rsidRPr="00AB503C" w14:paraId="647A0832" w14:textId="77777777" w:rsidTr="00200EFB">
        <w:trPr>
          <w:trHeight w:hRule="exact" w:val="197"/>
        </w:trPr>
        <w:tc>
          <w:tcPr>
            <w:tcW w:w="1965" w:type="dxa"/>
            <w:tcBorders>
              <w:top w:val="nil"/>
              <w:left w:val="nil"/>
              <w:bottom w:val="single" w:sz="4" w:space="0" w:color="93B7BB"/>
              <w:right w:val="nil"/>
            </w:tcBorders>
          </w:tcPr>
          <w:p w14:paraId="54B7399F" w14:textId="77777777" w:rsidR="001D200E" w:rsidRPr="00AB503C" w:rsidRDefault="001D200E" w:rsidP="00AB503C">
            <w:pPr>
              <w:pStyle w:val="Tableheading"/>
              <w:tabs>
                <w:tab w:val="left" w:pos="1004"/>
              </w:tabs>
              <w:rPr>
                <w:b/>
                <w:bCs/>
              </w:rPr>
            </w:pPr>
            <w:r w:rsidRPr="00AB503C">
              <w:rPr>
                <w:b/>
                <w:bCs/>
              </w:rPr>
              <w:t>(£ million)</w:t>
            </w:r>
            <w:r w:rsidRPr="00AB503C">
              <w:rPr>
                <w:b/>
                <w:bCs/>
              </w:rPr>
              <w:tab/>
            </w:r>
          </w:p>
        </w:tc>
        <w:tc>
          <w:tcPr>
            <w:tcW w:w="1499" w:type="dxa"/>
            <w:tcBorders>
              <w:top w:val="nil"/>
              <w:left w:val="nil"/>
              <w:bottom w:val="single" w:sz="4" w:space="0" w:color="93B7BB"/>
              <w:right w:val="nil"/>
            </w:tcBorders>
            <w:vAlign w:val="bottom"/>
          </w:tcPr>
          <w:p w14:paraId="142A6D2B" w14:textId="4BC3DA85" w:rsidR="001D200E" w:rsidRPr="00AB503C" w:rsidRDefault="001D200E" w:rsidP="00191CEC">
            <w:pPr>
              <w:pStyle w:val="Tableheading"/>
              <w:jc w:val="right"/>
            </w:pPr>
            <w:r w:rsidRPr="00AB503C">
              <w:t>201</w:t>
            </w:r>
            <w:r>
              <w:t>4</w:t>
            </w:r>
          </w:p>
        </w:tc>
        <w:tc>
          <w:tcPr>
            <w:tcW w:w="930" w:type="dxa"/>
            <w:tcBorders>
              <w:top w:val="nil"/>
              <w:left w:val="nil"/>
              <w:bottom w:val="single" w:sz="4" w:space="0" w:color="93B7BB"/>
              <w:right w:val="nil"/>
            </w:tcBorders>
            <w:vAlign w:val="bottom"/>
          </w:tcPr>
          <w:p w14:paraId="3AAACD62" w14:textId="650437DB" w:rsidR="001D200E" w:rsidRPr="00AB503C" w:rsidRDefault="001D200E" w:rsidP="00AB503C">
            <w:pPr>
              <w:pStyle w:val="Tableheading"/>
              <w:jc w:val="right"/>
            </w:pPr>
            <w:r>
              <w:t>v</w:t>
            </w:r>
            <w:r w:rsidRPr="00AB503C">
              <w:t>olume</w:t>
            </w:r>
          </w:p>
        </w:tc>
        <w:tc>
          <w:tcPr>
            <w:tcW w:w="1038" w:type="dxa"/>
            <w:tcBorders>
              <w:top w:val="nil"/>
              <w:left w:val="nil"/>
              <w:bottom w:val="single" w:sz="4" w:space="0" w:color="93B7BB"/>
              <w:right w:val="nil"/>
            </w:tcBorders>
            <w:vAlign w:val="bottom"/>
          </w:tcPr>
          <w:p w14:paraId="4595FC5F" w14:textId="6DDFA8CB" w:rsidR="001D200E" w:rsidRPr="00AB503C" w:rsidRDefault="001D200E" w:rsidP="00AB503C">
            <w:pPr>
              <w:pStyle w:val="Tableheading"/>
              <w:jc w:val="right"/>
            </w:pPr>
            <w:r>
              <w:t>rat</w:t>
            </w:r>
            <w:r w:rsidRPr="00AB503C">
              <w:t>e</w:t>
            </w:r>
          </w:p>
        </w:tc>
        <w:tc>
          <w:tcPr>
            <w:tcW w:w="1089" w:type="dxa"/>
            <w:tcBorders>
              <w:top w:val="nil"/>
              <w:left w:val="nil"/>
              <w:bottom w:val="single" w:sz="4" w:space="0" w:color="93B7BB"/>
              <w:right w:val="nil"/>
            </w:tcBorders>
            <w:vAlign w:val="bottom"/>
          </w:tcPr>
          <w:p w14:paraId="25FFA533" w14:textId="77777777" w:rsidR="001D200E" w:rsidRPr="00AB503C" w:rsidRDefault="001D200E" w:rsidP="00AB503C">
            <w:pPr>
              <w:pStyle w:val="Tableheading"/>
              <w:jc w:val="right"/>
            </w:pPr>
            <w:r w:rsidRPr="00AB503C">
              <w:t>Out-patient</w:t>
            </w:r>
          </w:p>
        </w:tc>
        <w:tc>
          <w:tcPr>
            <w:tcW w:w="749" w:type="dxa"/>
            <w:tcBorders>
              <w:top w:val="nil"/>
              <w:left w:val="nil"/>
              <w:bottom w:val="single" w:sz="4" w:space="0" w:color="93B7BB"/>
              <w:right w:val="nil"/>
            </w:tcBorders>
            <w:vAlign w:val="bottom"/>
          </w:tcPr>
          <w:p w14:paraId="5B716374" w14:textId="77777777" w:rsidR="001D200E" w:rsidRPr="00AB503C" w:rsidRDefault="001D200E" w:rsidP="00AB503C">
            <w:pPr>
              <w:pStyle w:val="Tableheading"/>
              <w:jc w:val="right"/>
            </w:pPr>
            <w:r w:rsidRPr="00AB503C">
              <w:t>Other</w:t>
            </w:r>
          </w:p>
        </w:tc>
        <w:tc>
          <w:tcPr>
            <w:tcW w:w="872" w:type="dxa"/>
            <w:tcBorders>
              <w:top w:val="nil"/>
              <w:left w:val="nil"/>
              <w:bottom w:val="single" w:sz="4" w:space="0" w:color="93B7BB"/>
              <w:right w:val="nil"/>
            </w:tcBorders>
            <w:vAlign w:val="bottom"/>
          </w:tcPr>
          <w:p w14:paraId="28012F63" w14:textId="0648351E" w:rsidR="001D200E" w:rsidRPr="00AB503C" w:rsidRDefault="001D200E" w:rsidP="00AB503C">
            <w:pPr>
              <w:pStyle w:val="Tableheading"/>
              <w:jc w:val="right"/>
            </w:pPr>
            <w:r w:rsidRPr="00AB503C">
              <w:rPr>
                <w:b/>
                <w:bCs/>
              </w:rPr>
              <w:t>201</w:t>
            </w:r>
            <w:r>
              <w:rPr>
                <w:b/>
                <w:bCs/>
              </w:rPr>
              <w:t>5</w:t>
            </w:r>
          </w:p>
        </w:tc>
        <w:tc>
          <w:tcPr>
            <w:tcW w:w="930" w:type="dxa"/>
            <w:tcBorders>
              <w:top w:val="nil"/>
              <w:left w:val="nil"/>
              <w:bottom w:val="single" w:sz="4" w:space="0" w:color="93B7BB"/>
              <w:right w:val="nil"/>
            </w:tcBorders>
            <w:vAlign w:val="bottom"/>
          </w:tcPr>
          <w:p w14:paraId="50839F10" w14:textId="0579C2D9" w:rsidR="001D200E" w:rsidRPr="00AB503C" w:rsidRDefault="001D200E" w:rsidP="001D200E">
            <w:pPr>
              <w:pStyle w:val="Tableheading"/>
              <w:jc w:val="right"/>
              <w:rPr>
                <w:b/>
                <w:bCs/>
              </w:rPr>
            </w:pPr>
            <w:r>
              <w:rPr>
                <w:b/>
                <w:bCs/>
              </w:rPr>
              <w:t>Growth</w:t>
            </w:r>
          </w:p>
        </w:tc>
      </w:tr>
      <w:tr w:rsidR="001D200E" w:rsidRPr="009F2075" w14:paraId="6DA0209C" w14:textId="77777777" w:rsidTr="00200EFB">
        <w:trPr>
          <w:trHeight w:hRule="exact" w:val="282"/>
        </w:trPr>
        <w:tc>
          <w:tcPr>
            <w:tcW w:w="1965" w:type="dxa"/>
            <w:tcBorders>
              <w:top w:val="single" w:sz="4" w:space="0" w:color="93B7BB"/>
              <w:left w:val="nil"/>
              <w:right w:val="nil"/>
            </w:tcBorders>
          </w:tcPr>
          <w:p w14:paraId="389948C5" w14:textId="428C4E23" w:rsidR="001D200E" w:rsidRPr="00B2361E" w:rsidRDefault="001D200E" w:rsidP="00AB503C">
            <w:pPr>
              <w:pStyle w:val="Tabletext"/>
              <w:rPr>
                <w:rFonts w:ascii="Times New Roman" w:hAnsi="Times New Roman" w:cs="Times New Roman"/>
                <w:color w:val="auto"/>
              </w:rPr>
            </w:pPr>
            <w:r>
              <w:rPr>
                <w:spacing w:val="-3"/>
              </w:rPr>
              <w:t xml:space="preserve">Underlying </w:t>
            </w:r>
            <w:r w:rsidRPr="00B2361E">
              <w:t>reve</w:t>
            </w:r>
            <w:r w:rsidRPr="00B2361E">
              <w:rPr>
                <w:spacing w:val="-4"/>
              </w:rPr>
              <w:t>nu</w:t>
            </w:r>
            <w:r w:rsidRPr="00B2361E">
              <w:t>e</w:t>
            </w:r>
          </w:p>
        </w:tc>
        <w:tc>
          <w:tcPr>
            <w:tcW w:w="1499" w:type="dxa"/>
            <w:tcBorders>
              <w:top w:val="single" w:sz="4" w:space="0" w:color="93B7BB"/>
              <w:left w:val="nil"/>
              <w:right w:val="nil"/>
            </w:tcBorders>
            <w:vAlign w:val="bottom"/>
          </w:tcPr>
          <w:p w14:paraId="6B8988E7" w14:textId="1426FB1F" w:rsidR="001D200E" w:rsidRPr="00B2361E" w:rsidRDefault="001D200E" w:rsidP="001D200E">
            <w:pPr>
              <w:pStyle w:val="Tabletext"/>
              <w:jc w:val="right"/>
              <w:rPr>
                <w:rFonts w:ascii="Times New Roman" w:hAnsi="Times New Roman" w:cs="Times New Roman"/>
                <w:color w:val="auto"/>
              </w:rPr>
            </w:pPr>
            <w:r>
              <w:rPr>
                <w:spacing w:val="-3"/>
              </w:rPr>
              <w:t>826</w:t>
            </w:r>
            <w:r w:rsidRPr="00B2361E">
              <w:rPr>
                <w:spacing w:val="-3"/>
              </w:rPr>
              <w:t>.</w:t>
            </w:r>
            <w:r>
              <w:rPr>
                <w:spacing w:val="-3"/>
              </w:rPr>
              <w:t>6</w:t>
            </w:r>
          </w:p>
        </w:tc>
        <w:tc>
          <w:tcPr>
            <w:tcW w:w="930" w:type="dxa"/>
            <w:tcBorders>
              <w:top w:val="single" w:sz="4" w:space="0" w:color="93B7BB"/>
              <w:left w:val="nil"/>
              <w:right w:val="nil"/>
            </w:tcBorders>
            <w:vAlign w:val="bottom"/>
          </w:tcPr>
          <w:p w14:paraId="1655EFDF" w14:textId="1250822A" w:rsidR="001D200E" w:rsidRPr="001D200E" w:rsidRDefault="001D200E" w:rsidP="001D200E">
            <w:pPr>
              <w:pStyle w:val="Tabletext"/>
              <w:jc w:val="right"/>
              <w:rPr>
                <w:rFonts w:ascii="Times New Roman" w:hAnsi="Times New Roman" w:cs="Times New Roman"/>
                <w:color w:val="auto"/>
              </w:rPr>
            </w:pPr>
            <w:r w:rsidRPr="001D200E">
              <w:rPr>
                <w:spacing w:val="-3"/>
              </w:rPr>
              <w:t>18.1</w:t>
            </w:r>
          </w:p>
        </w:tc>
        <w:tc>
          <w:tcPr>
            <w:tcW w:w="1038" w:type="dxa"/>
            <w:tcBorders>
              <w:top w:val="single" w:sz="4" w:space="0" w:color="93B7BB"/>
              <w:left w:val="nil"/>
              <w:right w:val="nil"/>
            </w:tcBorders>
            <w:vAlign w:val="bottom"/>
          </w:tcPr>
          <w:p w14:paraId="79DFEB7D" w14:textId="6488C1C2" w:rsidR="001D200E" w:rsidRPr="001D200E" w:rsidRDefault="001D200E" w:rsidP="001D200E">
            <w:pPr>
              <w:pStyle w:val="Tabletext"/>
              <w:jc w:val="right"/>
              <w:rPr>
                <w:rFonts w:ascii="Times New Roman" w:hAnsi="Times New Roman" w:cs="Times New Roman"/>
                <w:color w:val="auto"/>
              </w:rPr>
            </w:pPr>
            <w:r>
              <w:rPr>
                <w:spacing w:val="-3"/>
              </w:rPr>
              <w:t>(0</w:t>
            </w:r>
            <w:r w:rsidRPr="001D200E">
              <w:rPr>
                <w:spacing w:val="-3"/>
              </w:rPr>
              <w:t>.</w:t>
            </w:r>
            <w:r>
              <w:rPr>
                <w:spacing w:val="-3"/>
              </w:rPr>
              <w:t>9)</w:t>
            </w:r>
          </w:p>
        </w:tc>
        <w:tc>
          <w:tcPr>
            <w:tcW w:w="1089" w:type="dxa"/>
            <w:tcBorders>
              <w:top w:val="single" w:sz="4" w:space="0" w:color="93B7BB"/>
              <w:left w:val="nil"/>
              <w:right w:val="nil"/>
            </w:tcBorders>
            <w:vAlign w:val="bottom"/>
          </w:tcPr>
          <w:p w14:paraId="1E5A246E" w14:textId="7993F770" w:rsidR="001D200E" w:rsidRPr="001D200E" w:rsidRDefault="001D200E" w:rsidP="001D200E">
            <w:pPr>
              <w:pStyle w:val="Tabletext"/>
              <w:jc w:val="right"/>
              <w:rPr>
                <w:rFonts w:ascii="Times New Roman" w:hAnsi="Times New Roman" w:cs="Times New Roman"/>
                <w:color w:val="auto"/>
              </w:rPr>
            </w:pPr>
            <w:r>
              <w:rPr>
                <w:spacing w:val="-3"/>
              </w:rPr>
              <w:t>3.5</w:t>
            </w:r>
          </w:p>
        </w:tc>
        <w:tc>
          <w:tcPr>
            <w:tcW w:w="749" w:type="dxa"/>
            <w:tcBorders>
              <w:top w:val="single" w:sz="4" w:space="0" w:color="93B7BB"/>
              <w:left w:val="nil"/>
              <w:right w:val="nil"/>
            </w:tcBorders>
            <w:vAlign w:val="bottom"/>
          </w:tcPr>
          <w:p w14:paraId="033459EB" w14:textId="0050D70A" w:rsidR="001D200E" w:rsidRPr="001D200E" w:rsidRDefault="001D200E" w:rsidP="001D200E">
            <w:pPr>
              <w:pStyle w:val="Tabletext"/>
              <w:jc w:val="right"/>
              <w:rPr>
                <w:rFonts w:ascii="Times New Roman" w:hAnsi="Times New Roman" w:cs="Times New Roman"/>
                <w:color w:val="auto"/>
              </w:rPr>
            </w:pPr>
            <w:r>
              <w:rPr>
                <w:spacing w:val="-3"/>
              </w:rPr>
              <w:t>0</w:t>
            </w:r>
            <w:r w:rsidRPr="001D200E">
              <w:rPr>
                <w:spacing w:val="-3"/>
              </w:rPr>
              <w:t>.</w:t>
            </w:r>
            <w:r>
              <w:rPr>
                <w:spacing w:val="-3"/>
              </w:rPr>
              <w:t>1</w:t>
            </w:r>
          </w:p>
        </w:tc>
        <w:tc>
          <w:tcPr>
            <w:tcW w:w="872" w:type="dxa"/>
            <w:tcBorders>
              <w:top w:val="single" w:sz="4" w:space="0" w:color="93B7BB"/>
              <w:left w:val="nil"/>
              <w:right w:val="nil"/>
            </w:tcBorders>
            <w:shd w:val="clear" w:color="auto" w:fill="EFF4F5"/>
            <w:vAlign w:val="bottom"/>
          </w:tcPr>
          <w:p w14:paraId="0A6A4A91" w14:textId="3D61F94E" w:rsidR="001D200E" w:rsidRPr="00611044" w:rsidRDefault="00200EFB" w:rsidP="00200EFB">
            <w:pPr>
              <w:pStyle w:val="Tabletext"/>
              <w:jc w:val="right"/>
              <w:rPr>
                <w:rFonts w:ascii="Times New Roman" w:hAnsi="Times New Roman" w:cs="Times New Roman"/>
                <w:b/>
                <w:color w:val="auto"/>
              </w:rPr>
            </w:pPr>
            <w:r w:rsidRPr="00611044">
              <w:rPr>
                <w:b/>
                <w:spacing w:val="-3"/>
              </w:rPr>
              <w:t>847</w:t>
            </w:r>
            <w:r w:rsidR="001D200E" w:rsidRPr="00611044">
              <w:rPr>
                <w:b/>
                <w:spacing w:val="-3"/>
              </w:rPr>
              <w:t>.</w:t>
            </w:r>
            <w:r w:rsidRPr="00611044">
              <w:rPr>
                <w:b/>
                <w:spacing w:val="-3"/>
              </w:rPr>
              <w:t>4</w:t>
            </w:r>
          </w:p>
        </w:tc>
        <w:tc>
          <w:tcPr>
            <w:tcW w:w="930" w:type="dxa"/>
            <w:tcBorders>
              <w:top w:val="single" w:sz="4" w:space="0" w:color="93B7BB"/>
              <w:left w:val="nil"/>
              <w:right w:val="nil"/>
            </w:tcBorders>
            <w:shd w:val="clear" w:color="auto" w:fill="auto"/>
            <w:vAlign w:val="bottom"/>
          </w:tcPr>
          <w:p w14:paraId="2ABB4704" w14:textId="4BC81DF2" w:rsidR="001D200E" w:rsidRPr="00B2361E" w:rsidRDefault="001D200E" w:rsidP="001D200E">
            <w:pPr>
              <w:pStyle w:val="Tabletext"/>
              <w:jc w:val="right"/>
              <w:rPr>
                <w:rFonts w:ascii="Times New Roman" w:hAnsi="Times New Roman" w:cs="Times New Roman"/>
                <w:color w:val="auto"/>
              </w:rPr>
            </w:pPr>
            <w:r w:rsidRPr="001D200E">
              <w:rPr>
                <w:b/>
                <w:bCs/>
                <w:spacing w:val="-3"/>
              </w:rPr>
              <w:t>2.5%</w:t>
            </w:r>
          </w:p>
        </w:tc>
      </w:tr>
      <w:tr w:rsidR="001D200E" w:rsidRPr="009F2075" w14:paraId="4619E823" w14:textId="77777777" w:rsidTr="00200EFB">
        <w:trPr>
          <w:trHeight w:hRule="exact" w:val="253"/>
        </w:trPr>
        <w:tc>
          <w:tcPr>
            <w:tcW w:w="1965" w:type="dxa"/>
            <w:tcBorders>
              <w:top w:val="nil"/>
              <w:left w:val="nil"/>
              <w:right w:val="nil"/>
            </w:tcBorders>
          </w:tcPr>
          <w:p w14:paraId="0D832329" w14:textId="6AEB62A6" w:rsidR="001D200E" w:rsidRPr="00B2361E" w:rsidRDefault="001D200E" w:rsidP="00AB503C">
            <w:pPr>
              <w:pStyle w:val="Tabletext"/>
              <w:rPr>
                <w:rFonts w:ascii="Times New Roman" w:hAnsi="Times New Roman" w:cs="Times New Roman"/>
                <w:color w:val="auto"/>
              </w:rPr>
            </w:pPr>
            <w:r w:rsidRPr="001D200E">
              <w:rPr>
                <w:spacing w:val="-3"/>
              </w:rPr>
              <w:t>Acquisitions/disposals</w:t>
            </w:r>
          </w:p>
        </w:tc>
        <w:tc>
          <w:tcPr>
            <w:tcW w:w="1499" w:type="dxa"/>
            <w:tcBorders>
              <w:top w:val="nil"/>
              <w:left w:val="nil"/>
              <w:right w:val="nil"/>
            </w:tcBorders>
            <w:vAlign w:val="bottom"/>
          </w:tcPr>
          <w:p w14:paraId="7AE895BD" w14:textId="4EC3E9C3" w:rsidR="001D200E" w:rsidRPr="001D200E" w:rsidRDefault="001D200E" w:rsidP="00AB503C">
            <w:pPr>
              <w:pStyle w:val="Tabletext"/>
              <w:jc w:val="right"/>
              <w:rPr>
                <w:spacing w:val="-3"/>
              </w:rPr>
            </w:pPr>
            <w:r w:rsidRPr="001D200E">
              <w:rPr>
                <w:spacing w:val="-3"/>
              </w:rPr>
              <w:t>29.4</w:t>
            </w:r>
          </w:p>
        </w:tc>
        <w:tc>
          <w:tcPr>
            <w:tcW w:w="930" w:type="dxa"/>
            <w:tcBorders>
              <w:top w:val="nil"/>
              <w:left w:val="nil"/>
              <w:right w:val="nil"/>
            </w:tcBorders>
            <w:vAlign w:val="bottom"/>
          </w:tcPr>
          <w:p w14:paraId="47C561B1" w14:textId="77777777" w:rsidR="001D200E" w:rsidRPr="00191CEC" w:rsidRDefault="001D200E" w:rsidP="00191CEC">
            <w:pPr>
              <w:pStyle w:val="Tabletext"/>
              <w:jc w:val="right"/>
              <w:rPr>
                <w:spacing w:val="-3"/>
                <w:highlight w:val="yellow"/>
              </w:rPr>
            </w:pPr>
          </w:p>
        </w:tc>
        <w:tc>
          <w:tcPr>
            <w:tcW w:w="1038" w:type="dxa"/>
            <w:tcBorders>
              <w:top w:val="nil"/>
              <w:left w:val="nil"/>
              <w:right w:val="nil"/>
            </w:tcBorders>
            <w:vAlign w:val="bottom"/>
          </w:tcPr>
          <w:p w14:paraId="7A41A66D" w14:textId="77777777" w:rsidR="001D200E" w:rsidRPr="00191CEC" w:rsidRDefault="001D200E" w:rsidP="00191CEC">
            <w:pPr>
              <w:pStyle w:val="Tabletext"/>
              <w:jc w:val="right"/>
              <w:rPr>
                <w:spacing w:val="-3"/>
                <w:highlight w:val="yellow"/>
              </w:rPr>
            </w:pPr>
          </w:p>
        </w:tc>
        <w:tc>
          <w:tcPr>
            <w:tcW w:w="1089" w:type="dxa"/>
            <w:tcBorders>
              <w:top w:val="nil"/>
              <w:left w:val="nil"/>
              <w:right w:val="nil"/>
            </w:tcBorders>
            <w:vAlign w:val="bottom"/>
          </w:tcPr>
          <w:p w14:paraId="439AAFB7" w14:textId="77777777" w:rsidR="001D200E" w:rsidRPr="00191CEC" w:rsidRDefault="001D200E" w:rsidP="00191CEC">
            <w:pPr>
              <w:pStyle w:val="Tabletext"/>
              <w:jc w:val="right"/>
              <w:rPr>
                <w:spacing w:val="-3"/>
                <w:highlight w:val="yellow"/>
              </w:rPr>
            </w:pPr>
          </w:p>
        </w:tc>
        <w:tc>
          <w:tcPr>
            <w:tcW w:w="749" w:type="dxa"/>
            <w:tcBorders>
              <w:top w:val="nil"/>
              <w:left w:val="nil"/>
              <w:right w:val="nil"/>
            </w:tcBorders>
            <w:vAlign w:val="bottom"/>
          </w:tcPr>
          <w:p w14:paraId="2053CCBC" w14:textId="77777777" w:rsidR="001D200E" w:rsidRPr="00191CEC" w:rsidRDefault="001D200E" w:rsidP="00191CEC">
            <w:pPr>
              <w:pStyle w:val="Tabletext"/>
              <w:jc w:val="right"/>
              <w:rPr>
                <w:spacing w:val="-3"/>
                <w:highlight w:val="yellow"/>
              </w:rPr>
            </w:pPr>
          </w:p>
        </w:tc>
        <w:tc>
          <w:tcPr>
            <w:tcW w:w="872" w:type="dxa"/>
            <w:tcBorders>
              <w:top w:val="nil"/>
              <w:left w:val="nil"/>
              <w:right w:val="nil"/>
            </w:tcBorders>
            <w:shd w:val="clear" w:color="auto" w:fill="EFF4F5"/>
            <w:vAlign w:val="bottom"/>
          </w:tcPr>
          <w:p w14:paraId="49E20630" w14:textId="72A6094A" w:rsidR="001D200E" w:rsidRPr="00611044" w:rsidRDefault="00200EFB" w:rsidP="00191CEC">
            <w:pPr>
              <w:pStyle w:val="Tabletext"/>
              <w:jc w:val="right"/>
              <w:rPr>
                <w:b/>
                <w:spacing w:val="-3"/>
              </w:rPr>
            </w:pPr>
            <w:r w:rsidRPr="00611044">
              <w:rPr>
                <w:b/>
                <w:spacing w:val="-3"/>
              </w:rPr>
              <w:t>37.4</w:t>
            </w:r>
          </w:p>
        </w:tc>
        <w:tc>
          <w:tcPr>
            <w:tcW w:w="930" w:type="dxa"/>
            <w:tcBorders>
              <w:top w:val="nil"/>
              <w:left w:val="nil"/>
              <w:right w:val="nil"/>
            </w:tcBorders>
            <w:shd w:val="clear" w:color="auto" w:fill="auto"/>
            <w:vAlign w:val="bottom"/>
          </w:tcPr>
          <w:p w14:paraId="7F143A9F" w14:textId="77777777" w:rsidR="001D200E" w:rsidRPr="00191CEC" w:rsidRDefault="001D200E" w:rsidP="00191CEC">
            <w:pPr>
              <w:pStyle w:val="Tabletext"/>
              <w:jc w:val="right"/>
              <w:rPr>
                <w:b/>
                <w:bCs/>
                <w:highlight w:val="yellow"/>
              </w:rPr>
            </w:pPr>
          </w:p>
        </w:tc>
      </w:tr>
      <w:tr w:rsidR="001D200E" w:rsidRPr="009F2075" w14:paraId="59F9A195" w14:textId="77777777" w:rsidTr="00200EFB">
        <w:trPr>
          <w:trHeight w:hRule="exact" w:val="253"/>
        </w:trPr>
        <w:tc>
          <w:tcPr>
            <w:tcW w:w="1965" w:type="dxa"/>
            <w:tcBorders>
              <w:left w:val="nil"/>
              <w:bottom w:val="single" w:sz="4" w:space="0" w:color="93B7BB"/>
              <w:right w:val="nil"/>
            </w:tcBorders>
          </w:tcPr>
          <w:p w14:paraId="330FEC28" w14:textId="7270498D" w:rsidR="001D200E" w:rsidRPr="00B2361E" w:rsidRDefault="001D200E" w:rsidP="00AB503C">
            <w:pPr>
              <w:pStyle w:val="Tabletext"/>
              <w:rPr>
                <w:rFonts w:ascii="Times New Roman" w:hAnsi="Times New Roman" w:cs="Times New Roman"/>
                <w:color w:val="auto"/>
              </w:rPr>
            </w:pPr>
            <w:r w:rsidRPr="001D200E">
              <w:rPr>
                <w:spacing w:val="-3"/>
              </w:rPr>
              <w:t>Total revenue</w:t>
            </w:r>
          </w:p>
        </w:tc>
        <w:tc>
          <w:tcPr>
            <w:tcW w:w="1499" w:type="dxa"/>
            <w:tcBorders>
              <w:left w:val="nil"/>
              <w:bottom w:val="single" w:sz="4" w:space="0" w:color="93B7BB"/>
              <w:right w:val="nil"/>
            </w:tcBorders>
            <w:vAlign w:val="bottom"/>
          </w:tcPr>
          <w:p w14:paraId="04E396EC" w14:textId="4CEBCCCF" w:rsidR="001D200E" w:rsidRPr="001D200E" w:rsidRDefault="001D200E" w:rsidP="00AB503C">
            <w:pPr>
              <w:pStyle w:val="Tabletext"/>
              <w:jc w:val="right"/>
              <w:rPr>
                <w:spacing w:val="-3"/>
              </w:rPr>
            </w:pPr>
            <w:r w:rsidRPr="001D200E">
              <w:rPr>
                <w:spacing w:val="-3"/>
              </w:rPr>
              <w:t>856.0</w:t>
            </w:r>
          </w:p>
        </w:tc>
        <w:tc>
          <w:tcPr>
            <w:tcW w:w="930" w:type="dxa"/>
            <w:tcBorders>
              <w:left w:val="nil"/>
              <w:bottom w:val="single" w:sz="4" w:space="0" w:color="93B7BB"/>
              <w:right w:val="nil"/>
            </w:tcBorders>
            <w:vAlign w:val="bottom"/>
          </w:tcPr>
          <w:p w14:paraId="2A218DCA" w14:textId="5E5703CB" w:rsidR="001D200E" w:rsidRPr="00B2361E" w:rsidRDefault="001D200E" w:rsidP="00191CEC">
            <w:pPr>
              <w:pStyle w:val="Tabletext"/>
              <w:jc w:val="right"/>
              <w:rPr>
                <w:rFonts w:ascii="Times New Roman" w:hAnsi="Times New Roman" w:cs="Times New Roman"/>
                <w:color w:val="auto"/>
              </w:rPr>
            </w:pPr>
          </w:p>
        </w:tc>
        <w:tc>
          <w:tcPr>
            <w:tcW w:w="1038" w:type="dxa"/>
            <w:tcBorders>
              <w:left w:val="nil"/>
              <w:bottom w:val="single" w:sz="4" w:space="0" w:color="93B7BB"/>
              <w:right w:val="nil"/>
            </w:tcBorders>
            <w:vAlign w:val="bottom"/>
          </w:tcPr>
          <w:p w14:paraId="64493EBF" w14:textId="75627CB4" w:rsidR="001D200E" w:rsidRPr="00B2361E" w:rsidRDefault="001D200E" w:rsidP="00191CEC">
            <w:pPr>
              <w:pStyle w:val="Tabletext"/>
              <w:jc w:val="right"/>
              <w:rPr>
                <w:rFonts w:ascii="Times New Roman" w:hAnsi="Times New Roman" w:cs="Times New Roman"/>
                <w:color w:val="auto"/>
              </w:rPr>
            </w:pPr>
          </w:p>
        </w:tc>
        <w:tc>
          <w:tcPr>
            <w:tcW w:w="1089" w:type="dxa"/>
            <w:tcBorders>
              <w:left w:val="nil"/>
              <w:bottom w:val="single" w:sz="4" w:space="0" w:color="93B7BB"/>
              <w:right w:val="nil"/>
            </w:tcBorders>
            <w:vAlign w:val="bottom"/>
          </w:tcPr>
          <w:p w14:paraId="68F90059" w14:textId="2D9983D0" w:rsidR="001D200E" w:rsidRPr="00B2361E" w:rsidRDefault="001D200E" w:rsidP="00191CEC">
            <w:pPr>
              <w:pStyle w:val="Tabletext"/>
              <w:jc w:val="right"/>
              <w:rPr>
                <w:rFonts w:ascii="Times New Roman" w:hAnsi="Times New Roman" w:cs="Times New Roman"/>
                <w:color w:val="auto"/>
              </w:rPr>
            </w:pPr>
          </w:p>
        </w:tc>
        <w:tc>
          <w:tcPr>
            <w:tcW w:w="749" w:type="dxa"/>
            <w:tcBorders>
              <w:left w:val="nil"/>
              <w:bottom w:val="single" w:sz="4" w:space="0" w:color="93B7BB"/>
              <w:right w:val="nil"/>
            </w:tcBorders>
            <w:vAlign w:val="bottom"/>
          </w:tcPr>
          <w:p w14:paraId="338F43CE" w14:textId="2CC21B2E" w:rsidR="001D200E" w:rsidRPr="00B2361E" w:rsidRDefault="001D200E" w:rsidP="00191CEC">
            <w:pPr>
              <w:pStyle w:val="Tabletext"/>
              <w:jc w:val="right"/>
              <w:rPr>
                <w:rFonts w:ascii="Times New Roman" w:hAnsi="Times New Roman" w:cs="Times New Roman"/>
                <w:color w:val="auto"/>
              </w:rPr>
            </w:pPr>
          </w:p>
        </w:tc>
        <w:tc>
          <w:tcPr>
            <w:tcW w:w="872" w:type="dxa"/>
            <w:tcBorders>
              <w:left w:val="nil"/>
              <w:bottom w:val="single" w:sz="4" w:space="0" w:color="93B7BB"/>
              <w:right w:val="nil"/>
            </w:tcBorders>
            <w:shd w:val="clear" w:color="auto" w:fill="EFF4F5"/>
            <w:vAlign w:val="bottom"/>
          </w:tcPr>
          <w:p w14:paraId="1A28F7C7" w14:textId="7D8C586C" w:rsidR="001D200E" w:rsidRPr="00611044" w:rsidRDefault="00200EFB" w:rsidP="00200EFB">
            <w:pPr>
              <w:pStyle w:val="Tabletext"/>
              <w:jc w:val="right"/>
              <w:rPr>
                <w:rFonts w:ascii="Times New Roman" w:hAnsi="Times New Roman" w:cs="Times New Roman"/>
                <w:b/>
                <w:color w:val="auto"/>
              </w:rPr>
            </w:pPr>
            <w:r w:rsidRPr="00611044">
              <w:rPr>
                <w:b/>
                <w:spacing w:val="-3"/>
              </w:rPr>
              <w:t>884.8</w:t>
            </w:r>
          </w:p>
        </w:tc>
        <w:tc>
          <w:tcPr>
            <w:tcW w:w="930" w:type="dxa"/>
            <w:tcBorders>
              <w:left w:val="nil"/>
              <w:bottom w:val="single" w:sz="4" w:space="0" w:color="93B7BB"/>
              <w:right w:val="nil"/>
            </w:tcBorders>
            <w:shd w:val="clear" w:color="auto" w:fill="auto"/>
            <w:vAlign w:val="bottom"/>
          </w:tcPr>
          <w:p w14:paraId="30B63AC7" w14:textId="1EA530DA" w:rsidR="001D200E" w:rsidRPr="001D200E" w:rsidRDefault="001D200E" w:rsidP="001D200E">
            <w:pPr>
              <w:pStyle w:val="Tabletext"/>
              <w:jc w:val="right"/>
              <w:rPr>
                <w:rFonts w:ascii="Times New Roman" w:hAnsi="Times New Roman" w:cs="Times New Roman"/>
                <w:color w:val="auto"/>
              </w:rPr>
            </w:pPr>
            <w:r w:rsidRPr="001D200E">
              <w:rPr>
                <w:b/>
                <w:bCs/>
              </w:rPr>
              <w:t>3.4</w:t>
            </w:r>
            <w:r w:rsidRPr="001D200E">
              <w:rPr>
                <w:b/>
                <w:bCs/>
                <w:spacing w:val="-1"/>
              </w:rPr>
              <w:t>%</w:t>
            </w:r>
          </w:p>
        </w:tc>
      </w:tr>
    </w:tbl>
    <w:p w14:paraId="58B8C14C" w14:textId="2D83D1E7" w:rsidR="00AB503C" w:rsidRDefault="00AB503C" w:rsidP="00B2361E">
      <w:pPr>
        <w:pStyle w:val="Footnote"/>
      </w:pPr>
    </w:p>
    <w:p w14:paraId="42DC573A" w14:textId="7B58983F" w:rsidR="00AB503C" w:rsidRPr="009F2075" w:rsidRDefault="00200EFB" w:rsidP="000076E3">
      <w:pPr>
        <w:jc w:val="both"/>
      </w:pPr>
      <w:r>
        <w:t>Revenue for the year ended 31 December 2015 increased by £28.8 million, or 3.4%, to £884.8 million (2014: £856.0 million)</w:t>
      </w:r>
      <w:r w:rsidR="00AB503C" w:rsidRPr="009F2075">
        <w:t>.</w:t>
      </w:r>
    </w:p>
    <w:p w14:paraId="1A0B2503" w14:textId="2FB9F327" w:rsidR="00AB503C" w:rsidRPr="009F2075" w:rsidRDefault="001730CB" w:rsidP="007819FB">
      <w:pPr>
        <w:jc w:val="both"/>
      </w:pPr>
      <w:r>
        <w:t>Underlying growth, excluding revenue of £5</w:t>
      </w:r>
      <w:r w:rsidRPr="00426E32">
        <w:t>.</w:t>
      </w:r>
      <w:r>
        <w:t>8 million (2014: £8.3 million) relating to Spire St Saviour’s Hospital which was closed in September 2015, £</w:t>
      </w:r>
      <w:r w:rsidRPr="00426E32">
        <w:t>31.6</w:t>
      </w:r>
      <w:r>
        <w:t xml:space="preserve"> million (2014: £19.2 million) arising from Spire St Anthony’s Hospital since its acquisition in May 2014, and £nil (2014: £1.9 million) from the disposal of the fertility business in August 2014, </w:t>
      </w:r>
      <w:r w:rsidRPr="009F2075">
        <w:t xml:space="preserve">was </w:t>
      </w:r>
      <w:r>
        <w:t>2.5</w:t>
      </w:r>
      <w:r w:rsidR="008254D8" w:rsidRPr="009F2075">
        <w:t>%</w:t>
      </w:r>
      <w:r w:rsidR="00AB503C" w:rsidRPr="009F2075">
        <w:t>.</w:t>
      </w:r>
    </w:p>
    <w:p w14:paraId="3897AEDE" w14:textId="37CC8290" w:rsidR="00AB503C" w:rsidRPr="009F2075" w:rsidRDefault="00AB503C" w:rsidP="00191CEC">
      <w:pPr>
        <w:keepNext/>
        <w:keepLines/>
        <w:jc w:val="both"/>
      </w:pPr>
      <w:r w:rsidRPr="009F2075">
        <w:t xml:space="preserve">Of the underlying revenue growth of </w:t>
      </w:r>
      <w:r w:rsidR="001730CB">
        <w:t>2.5</w:t>
      </w:r>
      <w:r w:rsidR="0059056F" w:rsidRPr="009F2075">
        <w:t>%</w:t>
      </w:r>
      <w:r w:rsidRPr="009F2075">
        <w:t>:</w:t>
      </w:r>
    </w:p>
    <w:p w14:paraId="5D393297" w14:textId="77777777" w:rsidR="001730CB" w:rsidRDefault="001730CB" w:rsidP="00562DCC">
      <w:pPr>
        <w:pStyle w:val="Bullet1"/>
        <w:jc w:val="both"/>
      </w:pPr>
      <w:r>
        <w:t xml:space="preserve">an increase of </w:t>
      </w:r>
      <w:r w:rsidRPr="004B1D92">
        <w:t>3.3% in</w:t>
      </w:r>
      <w:r>
        <w:t xml:space="preserve"> the volume of in-patient and daycase admissions accounted for a 2.2% increase in revenue in the year with volume growth across all </w:t>
      </w:r>
      <w:proofErr w:type="spellStart"/>
      <w:r>
        <w:t>payor</w:t>
      </w:r>
      <w:proofErr w:type="spellEnd"/>
      <w:r>
        <w:t xml:space="preserve"> groups;</w:t>
      </w:r>
    </w:p>
    <w:p w14:paraId="0AA79C02" w14:textId="1A56E538" w:rsidR="00CD5C13" w:rsidRDefault="00611044" w:rsidP="00562DCC">
      <w:pPr>
        <w:pStyle w:val="Bullet1"/>
        <w:jc w:val="both"/>
      </w:pPr>
      <w:proofErr w:type="gramStart"/>
      <w:r>
        <w:t>t</w:t>
      </w:r>
      <w:r w:rsidR="001730CB" w:rsidRPr="004852D4">
        <w:t>he</w:t>
      </w:r>
      <w:proofErr w:type="gramEnd"/>
      <w:r w:rsidR="001730CB" w:rsidRPr="004852D4">
        <w:t xml:space="preserve"> Group </w:t>
      </w:r>
      <w:r w:rsidR="001730CB">
        <w:t>reported a nominal decline in the rate for in-patient and daycase (average revenue per case) equivalent to a 0.1% decline in total revenue. This was the result of year-on-year NHS tariff reductions and a shift in PMI case mix towards lower yielding daycase admissions in the year</w:t>
      </w:r>
      <w:r w:rsidR="00BB16FC">
        <w:t>; and</w:t>
      </w:r>
    </w:p>
    <w:p w14:paraId="6D98FC97" w14:textId="2511B23A" w:rsidR="00BB16FC" w:rsidRPr="00B2361E" w:rsidRDefault="00611044" w:rsidP="00562DCC">
      <w:pPr>
        <w:pStyle w:val="Bullet1"/>
        <w:jc w:val="both"/>
      </w:pPr>
      <w:proofErr w:type="gramStart"/>
      <w:r>
        <w:t>out</w:t>
      </w:r>
      <w:r w:rsidR="00846CDD">
        <w:t>-</w:t>
      </w:r>
      <w:r>
        <w:t>patient</w:t>
      </w:r>
      <w:proofErr w:type="gramEnd"/>
      <w:r>
        <w:t xml:space="preserve"> activities increased with the volume of admissions but growth has been tempered by PMI out</w:t>
      </w:r>
      <w:r w:rsidR="00846CDD">
        <w:t>-</w:t>
      </w:r>
      <w:r>
        <w:t>patient pricing in the year. Out</w:t>
      </w:r>
      <w:r w:rsidR="00846CDD">
        <w:t>-</w:t>
      </w:r>
      <w:r>
        <w:t>patient revenue growth accounted for an incre</w:t>
      </w:r>
      <w:r w:rsidR="00205189">
        <w:t>ase in underlying total revenue</w:t>
      </w:r>
      <w:r>
        <w:t xml:space="preserve"> of 0.4%</w:t>
      </w:r>
      <w:r w:rsidR="00BB16FC">
        <w:t>.</w:t>
      </w:r>
    </w:p>
    <w:p w14:paraId="3AFFFC6B" w14:textId="77777777" w:rsidR="0050102D" w:rsidRDefault="0050102D">
      <w:pPr>
        <w:spacing w:after="160" w:line="259" w:lineRule="auto"/>
        <w:rPr>
          <w:rFonts w:asciiTheme="majorHAnsi" w:eastAsiaTheme="majorEastAsia" w:hAnsiTheme="majorHAnsi" w:cstheme="majorBidi"/>
          <w:b/>
          <w:iCs/>
        </w:rPr>
      </w:pPr>
      <w:r>
        <w:br w:type="page"/>
      </w:r>
    </w:p>
    <w:p w14:paraId="321806D6" w14:textId="248C720C" w:rsidR="00AB503C" w:rsidRPr="00B2361E" w:rsidRDefault="00AB503C" w:rsidP="00B2361E">
      <w:pPr>
        <w:pStyle w:val="Heading4"/>
      </w:pPr>
      <w:r w:rsidRPr="00B2361E">
        <w:lastRenderedPageBreak/>
        <w:t>PMI</w:t>
      </w:r>
    </w:p>
    <w:tbl>
      <w:tblPr>
        <w:tblW w:w="9072" w:type="dxa"/>
        <w:tblLayout w:type="fixed"/>
        <w:tblCellMar>
          <w:left w:w="0" w:type="dxa"/>
          <w:right w:w="57" w:type="dxa"/>
        </w:tblCellMar>
        <w:tblLook w:val="0000" w:firstRow="0" w:lastRow="0" w:firstColumn="0" w:lastColumn="0" w:noHBand="0" w:noVBand="0"/>
      </w:tblPr>
      <w:tblGrid>
        <w:gridCol w:w="2273"/>
        <w:gridCol w:w="2119"/>
        <w:gridCol w:w="929"/>
        <w:gridCol w:w="1039"/>
        <w:gridCol w:w="910"/>
        <w:gridCol w:w="872"/>
        <w:gridCol w:w="930"/>
      </w:tblGrid>
      <w:tr w:rsidR="000951BF" w:rsidRPr="008F5418" w14:paraId="792F9EC0" w14:textId="77777777" w:rsidTr="00CF6E37">
        <w:tc>
          <w:tcPr>
            <w:tcW w:w="4392" w:type="dxa"/>
            <w:gridSpan w:val="2"/>
            <w:tcBorders>
              <w:top w:val="nil"/>
              <w:left w:val="nil"/>
              <w:bottom w:val="nil"/>
              <w:right w:val="nil"/>
            </w:tcBorders>
            <w:vAlign w:val="bottom"/>
          </w:tcPr>
          <w:p w14:paraId="4F27DAED" w14:textId="77777777" w:rsidR="000951BF" w:rsidRPr="008F5418" w:rsidRDefault="000951BF" w:rsidP="00CF6E37">
            <w:pPr>
              <w:pStyle w:val="Tableheading"/>
              <w:jc w:val="right"/>
            </w:pPr>
          </w:p>
        </w:tc>
        <w:tc>
          <w:tcPr>
            <w:tcW w:w="929" w:type="dxa"/>
            <w:tcBorders>
              <w:top w:val="nil"/>
              <w:left w:val="nil"/>
              <w:right w:val="nil"/>
            </w:tcBorders>
            <w:vAlign w:val="bottom"/>
          </w:tcPr>
          <w:p w14:paraId="47069721" w14:textId="77777777" w:rsidR="000951BF" w:rsidRPr="008F5418" w:rsidRDefault="000951BF" w:rsidP="00CF6E37">
            <w:pPr>
              <w:pStyle w:val="Tableheading"/>
              <w:jc w:val="right"/>
            </w:pPr>
            <w:r w:rsidRPr="008F5418">
              <w:t>In-patient/</w:t>
            </w:r>
            <w:r>
              <w:br/>
            </w:r>
            <w:r w:rsidRPr="008F5418">
              <w:t>daycase</w:t>
            </w:r>
          </w:p>
        </w:tc>
        <w:tc>
          <w:tcPr>
            <w:tcW w:w="1039" w:type="dxa"/>
            <w:tcBorders>
              <w:top w:val="nil"/>
              <w:left w:val="nil"/>
              <w:right w:val="nil"/>
            </w:tcBorders>
            <w:vAlign w:val="bottom"/>
          </w:tcPr>
          <w:p w14:paraId="62E0AF71" w14:textId="77777777" w:rsidR="000951BF" w:rsidRPr="008F5418" w:rsidRDefault="000951BF" w:rsidP="00CF6E37">
            <w:pPr>
              <w:pStyle w:val="Tableheading"/>
              <w:jc w:val="right"/>
            </w:pPr>
            <w:r w:rsidRPr="008F5418">
              <w:t>In-patient/</w:t>
            </w:r>
            <w:r>
              <w:br/>
            </w:r>
            <w:r w:rsidRPr="008F5418">
              <w:t>daycase</w:t>
            </w:r>
          </w:p>
        </w:tc>
        <w:tc>
          <w:tcPr>
            <w:tcW w:w="2712" w:type="dxa"/>
            <w:gridSpan w:val="3"/>
            <w:tcBorders>
              <w:top w:val="nil"/>
              <w:left w:val="nil"/>
              <w:bottom w:val="nil"/>
              <w:right w:val="nil"/>
            </w:tcBorders>
            <w:vAlign w:val="bottom"/>
          </w:tcPr>
          <w:p w14:paraId="60B775D0" w14:textId="77777777" w:rsidR="000951BF" w:rsidRPr="008F5418" w:rsidRDefault="000951BF" w:rsidP="00CF6E37">
            <w:pPr>
              <w:pStyle w:val="Tableheading"/>
              <w:jc w:val="right"/>
            </w:pPr>
          </w:p>
        </w:tc>
      </w:tr>
      <w:tr w:rsidR="000951BF" w:rsidRPr="008F5418" w14:paraId="5A28AFA6" w14:textId="77777777" w:rsidTr="00B4308B">
        <w:tc>
          <w:tcPr>
            <w:tcW w:w="2273" w:type="dxa"/>
            <w:tcBorders>
              <w:top w:val="nil"/>
              <w:left w:val="nil"/>
              <w:bottom w:val="single" w:sz="4" w:space="0" w:color="93B7BB"/>
              <w:right w:val="nil"/>
            </w:tcBorders>
          </w:tcPr>
          <w:p w14:paraId="32EA250F" w14:textId="77777777" w:rsidR="000951BF" w:rsidRPr="0005191D" w:rsidRDefault="000951BF" w:rsidP="00CF6E37">
            <w:pPr>
              <w:pStyle w:val="Tableheading"/>
              <w:rPr>
                <w:b/>
                <w:bCs/>
              </w:rPr>
            </w:pPr>
            <w:r w:rsidRPr="0005191D">
              <w:rPr>
                <w:b/>
                <w:bCs/>
              </w:rPr>
              <w:t>(£ million)</w:t>
            </w:r>
          </w:p>
        </w:tc>
        <w:tc>
          <w:tcPr>
            <w:tcW w:w="2119" w:type="dxa"/>
            <w:tcBorders>
              <w:top w:val="nil"/>
              <w:left w:val="nil"/>
              <w:bottom w:val="single" w:sz="4" w:space="0" w:color="93B7BB"/>
              <w:right w:val="nil"/>
            </w:tcBorders>
            <w:vAlign w:val="bottom"/>
          </w:tcPr>
          <w:p w14:paraId="5B9C8D49" w14:textId="77777777" w:rsidR="000951BF" w:rsidRPr="008F5418" w:rsidRDefault="000951BF" w:rsidP="00CF6E37">
            <w:pPr>
              <w:pStyle w:val="Tableheading"/>
              <w:jc w:val="right"/>
            </w:pPr>
            <w:r w:rsidRPr="008F5418">
              <w:t>201</w:t>
            </w:r>
            <w:r>
              <w:t>4</w:t>
            </w:r>
          </w:p>
        </w:tc>
        <w:tc>
          <w:tcPr>
            <w:tcW w:w="929" w:type="dxa"/>
            <w:tcBorders>
              <w:top w:val="nil"/>
              <w:left w:val="nil"/>
              <w:bottom w:val="single" w:sz="4" w:space="0" w:color="93B7BB"/>
              <w:right w:val="nil"/>
            </w:tcBorders>
            <w:vAlign w:val="bottom"/>
          </w:tcPr>
          <w:p w14:paraId="1FE50562" w14:textId="77777777" w:rsidR="000951BF" w:rsidRPr="008F5418" w:rsidRDefault="000951BF" w:rsidP="00CF6E37">
            <w:pPr>
              <w:pStyle w:val="Tableheading"/>
              <w:jc w:val="right"/>
            </w:pPr>
            <w:r>
              <w:t>v</w:t>
            </w:r>
            <w:r w:rsidRPr="008F5418">
              <w:t>olume</w:t>
            </w:r>
          </w:p>
        </w:tc>
        <w:tc>
          <w:tcPr>
            <w:tcW w:w="1039" w:type="dxa"/>
            <w:tcBorders>
              <w:top w:val="nil"/>
              <w:left w:val="nil"/>
              <w:bottom w:val="single" w:sz="4" w:space="0" w:color="93B7BB"/>
              <w:right w:val="nil"/>
            </w:tcBorders>
            <w:vAlign w:val="bottom"/>
          </w:tcPr>
          <w:p w14:paraId="300C4E9A" w14:textId="77777777" w:rsidR="000951BF" w:rsidRPr="008F5418" w:rsidRDefault="000951BF" w:rsidP="00CF6E37">
            <w:pPr>
              <w:pStyle w:val="Tableheading"/>
              <w:jc w:val="right"/>
            </w:pPr>
            <w:r>
              <w:t>rate</w:t>
            </w:r>
          </w:p>
        </w:tc>
        <w:tc>
          <w:tcPr>
            <w:tcW w:w="910" w:type="dxa"/>
            <w:tcBorders>
              <w:top w:val="nil"/>
              <w:left w:val="nil"/>
              <w:bottom w:val="single" w:sz="4" w:space="0" w:color="93B7BB"/>
              <w:right w:val="nil"/>
            </w:tcBorders>
            <w:vAlign w:val="bottom"/>
          </w:tcPr>
          <w:p w14:paraId="63304727" w14:textId="77777777" w:rsidR="000951BF" w:rsidRPr="008F5418" w:rsidRDefault="000951BF" w:rsidP="00CF6E37">
            <w:pPr>
              <w:pStyle w:val="Tableheading"/>
              <w:jc w:val="right"/>
            </w:pPr>
            <w:r w:rsidRPr="008F5418">
              <w:t>Out-patient</w:t>
            </w:r>
          </w:p>
        </w:tc>
        <w:tc>
          <w:tcPr>
            <w:tcW w:w="872" w:type="dxa"/>
            <w:tcBorders>
              <w:top w:val="nil"/>
              <w:left w:val="nil"/>
              <w:bottom w:val="single" w:sz="4" w:space="0" w:color="93B7BB"/>
              <w:right w:val="nil"/>
            </w:tcBorders>
            <w:vAlign w:val="bottom"/>
          </w:tcPr>
          <w:p w14:paraId="4E26A1DF" w14:textId="147B2E72" w:rsidR="000951BF" w:rsidRPr="008F5418" w:rsidRDefault="000951BF" w:rsidP="00CF6E37">
            <w:pPr>
              <w:pStyle w:val="Tableheading"/>
              <w:jc w:val="right"/>
            </w:pPr>
            <w:r w:rsidRPr="008F5418">
              <w:rPr>
                <w:b/>
                <w:bCs/>
              </w:rPr>
              <w:t>201</w:t>
            </w:r>
            <w:r>
              <w:rPr>
                <w:b/>
                <w:bCs/>
              </w:rPr>
              <w:t>5</w:t>
            </w:r>
          </w:p>
        </w:tc>
        <w:tc>
          <w:tcPr>
            <w:tcW w:w="930" w:type="dxa"/>
            <w:tcBorders>
              <w:top w:val="nil"/>
              <w:left w:val="nil"/>
              <w:bottom w:val="single" w:sz="4" w:space="0" w:color="93B7BB"/>
              <w:right w:val="nil"/>
            </w:tcBorders>
            <w:vAlign w:val="bottom"/>
          </w:tcPr>
          <w:p w14:paraId="3B1CC7C5" w14:textId="60BDEFF0" w:rsidR="000951BF" w:rsidRPr="008F5418" w:rsidRDefault="00B4308B" w:rsidP="00B4308B">
            <w:pPr>
              <w:pStyle w:val="Tableheading"/>
              <w:jc w:val="right"/>
              <w:rPr>
                <w:b/>
                <w:bCs/>
              </w:rPr>
            </w:pPr>
            <w:r>
              <w:rPr>
                <w:b/>
                <w:bCs/>
              </w:rPr>
              <w:t>Growth</w:t>
            </w:r>
          </w:p>
        </w:tc>
      </w:tr>
      <w:tr w:rsidR="00B4308B" w:rsidRPr="009F2075" w14:paraId="7E36346A" w14:textId="77777777" w:rsidTr="00B4308B">
        <w:tc>
          <w:tcPr>
            <w:tcW w:w="2273" w:type="dxa"/>
            <w:tcBorders>
              <w:top w:val="single" w:sz="4" w:space="0" w:color="93B7BB"/>
              <w:left w:val="nil"/>
              <w:right w:val="nil"/>
            </w:tcBorders>
          </w:tcPr>
          <w:p w14:paraId="65E76066" w14:textId="72645F38" w:rsidR="00B4308B" w:rsidRPr="00B2361E" w:rsidRDefault="00B4308B" w:rsidP="00B4308B">
            <w:pPr>
              <w:pStyle w:val="Tabletext"/>
            </w:pPr>
            <w:r>
              <w:rPr>
                <w:spacing w:val="-3"/>
              </w:rPr>
              <w:t xml:space="preserve">Underlying PMI </w:t>
            </w:r>
            <w:r w:rsidRPr="00B2361E">
              <w:t>reve</w:t>
            </w:r>
            <w:r w:rsidRPr="00B2361E">
              <w:rPr>
                <w:spacing w:val="-4"/>
              </w:rPr>
              <w:t>nu</w:t>
            </w:r>
            <w:r w:rsidRPr="00B2361E">
              <w:t>e</w:t>
            </w:r>
          </w:p>
        </w:tc>
        <w:tc>
          <w:tcPr>
            <w:tcW w:w="2119" w:type="dxa"/>
            <w:tcBorders>
              <w:top w:val="single" w:sz="4" w:space="0" w:color="93B7BB"/>
              <w:left w:val="nil"/>
              <w:right w:val="nil"/>
            </w:tcBorders>
            <w:vAlign w:val="bottom"/>
          </w:tcPr>
          <w:p w14:paraId="786A14E0" w14:textId="1EE36F7C" w:rsidR="00B4308B" w:rsidRPr="00B2361E" w:rsidRDefault="00B4308B" w:rsidP="00CF6E37">
            <w:pPr>
              <w:pStyle w:val="Tabletext"/>
              <w:jc w:val="right"/>
            </w:pPr>
            <w:r>
              <w:rPr>
                <w:spacing w:val="-3"/>
              </w:rPr>
              <w:t>416</w:t>
            </w:r>
            <w:r w:rsidRPr="00B2361E">
              <w:rPr>
                <w:spacing w:val="-3"/>
              </w:rPr>
              <w:t>.</w:t>
            </w:r>
            <w:r>
              <w:rPr>
                <w:spacing w:val="-3"/>
              </w:rPr>
              <w:t>9</w:t>
            </w:r>
          </w:p>
        </w:tc>
        <w:tc>
          <w:tcPr>
            <w:tcW w:w="929" w:type="dxa"/>
            <w:tcBorders>
              <w:top w:val="single" w:sz="4" w:space="0" w:color="93B7BB"/>
              <w:left w:val="nil"/>
              <w:right w:val="nil"/>
            </w:tcBorders>
            <w:vAlign w:val="bottom"/>
          </w:tcPr>
          <w:p w14:paraId="18AFBDD4" w14:textId="2E0FC737" w:rsidR="00B4308B" w:rsidRPr="00B2361E" w:rsidRDefault="00B4308B" w:rsidP="00CF6E37">
            <w:pPr>
              <w:pStyle w:val="Tabletext"/>
              <w:jc w:val="right"/>
            </w:pPr>
            <w:r>
              <w:rPr>
                <w:spacing w:val="-3"/>
              </w:rPr>
              <w:t>0</w:t>
            </w:r>
            <w:r w:rsidRPr="001D200E">
              <w:rPr>
                <w:spacing w:val="-3"/>
              </w:rPr>
              <w:t>.</w:t>
            </w:r>
            <w:r>
              <w:rPr>
                <w:spacing w:val="-3"/>
              </w:rPr>
              <w:t>7</w:t>
            </w:r>
          </w:p>
        </w:tc>
        <w:tc>
          <w:tcPr>
            <w:tcW w:w="1039" w:type="dxa"/>
            <w:tcBorders>
              <w:top w:val="single" w:sz="4" w:space="0" w:color="93B7BB"/>
              <w:left w:val="nil"/>
              <w:right w:val="nil"/>
            </w:tcBorders>
            <w:vAlign w:val="bottom"/>
          </w:tcPr>
          <w:p w14:paraId="29122996" w14:textId="5999E5F9" w:rsidR="00B4308B" w:rsidRPr="00B2361E" w:rsidRDefault="00B4308B" w:rsidP="00CF6E37">
            <w:pPr>
              <w:pStyle w:val="Tabletext"/>
              <w:jc w:val="right"/>
            </w:pPr>
            <w:r>
              <w:rPr>
                <w:spacing w:val="-3"/>
              </w:rPr>
              <w:t>(0</w:t>
            </w:r>
            <w:r w:rsidRPr="001D200E">
              <w:rPr>
                <w:spacing w:val="-3"/>
              </w:rPr>
              <w:t>.</w:t>
            </w:r>
            <w:r>
              <w:rPr>
                <w:spacing w:val="-3"/>
              </w:rPr>
              <w:t>7)</w:t>
            </w:r>
          </w:p>
        </w:tc>
        <w:tc>
          <w:tcPr>
            <w:tcW w:w="910" w:type="dxa"/>
            <w:tcBorders>
              <w:top w:val="single" w:sz="4" w:space="0" w:color="93B7BB"/>
              <w:left w:val="nil"/>
              <w:right w:val="nil"/>
            </w:tcBorders>
            <w:vAlign w:val="bottom"/>
          </w:tcPr>
          <w:p w14:paraId="38D2227B" w14:textId="605D7475" w:rsidR="00B4308B" w:rsidRPr="00B2361E" w:rsidRDefault="00B4308B" w:rsidP="00B4308B">
            <w:pPr>
              <w:pStyle w:val="Tabletext"/>
              <w:jc w:val="right"/>
            </w:pPr>
            <w:r>
              <w:rPr>
                <w:spacing w:val="-3"/>
              </w:rPr>
              <w:t>(4.7)</w:t>
            </w:r>
          </w:p>
        </w:tc>
        <w:tc>
          <w:tcPr>
            <w:tcW w:w="872" w:type="dxa"/>
            <w:tcBorders>
              <w:top w:val="single" w:sz="4" w:space="0" w:color="93B7BB"/>
              <w:left w:val="nil"/>
              <w:right w:val="nil"/>
            </w:tcBorders>
            <w:shd w:val="clear" w:color="auto" w:fill="EAF4F5"/>
            <w:vAlign w:val="bottom"/>
          </w:tcPr>
          <w:p w14:paraId="70818AFE" w14:textId="04EDF648" w:rsidR="00B4308B" w:rsidRPr="00B4308B" w:rsidRDefault="00B4308B" w:rsidP="00B4308B">
            <w:pPr>
              <w:pStyle w:val="Tabletext"/>
              <w:jc w:val="right"/>
              <w:rPr>
                <w:b/>
              </w:rPr>
            </w:pPr>
            <w:r w:rsidRPr="00B4308B">
              <w:rPr>
                <w:b/>
                <w:spacing w:val="-3"/>
              </w:rPr>
              <w:t>412.2</w:t>
            </w:r>
          </w:p>
        </w:tc>
        <w:tc>
          <w:tcPr>
            <w:tcW w:w="930" w:type="dxa"/>
            <w:tcBorders>
              <w:top w:val="single" w:sz="4" w:space="0" w:color="93B7BB"/>
              <w:left w:val="nil"/>
              <w:right w:val="nil"/>
            </w:tcBorders>
            <w:shd w:val="clear" w:color="auto" w:fill="auto"/>
            <w:vAlign w:val="bottom"/>
          </w:tcPr>
          <w:p w14:paraId="34BE28F6" w14:textId="4C792B3A" w:rsidR="00B4308B" w:rsidRPr="00B2361E" w:rsidRDefault="00B4308B" w:rsidP="00B4308B">
            <w:pPr>
              <w:pStyle w:val="Tabletext"/>
              <w:jc w:val="right"/>
              <w:rPr>
                <w:b/>
                <w:bCs/>
              </w:rPr>
            </w:pPr>
            <w:r w:rsidRPr="00B4308B">
              <w:rPr>
                <w:b/>
                <w:bCs/>
                <w:spacing w:val="-3"/>
              </w:rPr>
              <w:t>(1.1%)</w:t>
            </w:r>
          </w:p>
        </w:tc>
      </w:tr>
      <w:tr w:rsidR="00B4308B" w:rsidRPr="009F2075" w14:paraId="3AF63123" w14:textId="77777777" w:rsidTr="00B4308B">
        <w:tc>
          <w:tcPr>
            <w:tcW w:w="2273" w:type="dxa"/>
            <w:tcBorders>
              <w:top w:val="nil"/>
              <w:left w:val="nil"/>
              <w:right w:val="nil"/>
            </w:tcBorders>
          </w:tcPr>
          <w:p w14:paraId="5C7ACF01" w14:textId="02A1E1AC" w:rsidR="00B4308B" w:rsidRPr="00B2361E" w:rsidRDefault="00B4308B" w:rsidP="00CF6E37">
            <w:pPr>
              <w:pStyle w:val="Tabletext"/>
            </w:pPr>
            <w:r w:rsidRPr="001D200E">
              <w:rPr>
                <w:spacing w:val="-3"/>
              </w:rPr>
              <w:t>Acquisitions/disposals</w:t>
            </w:r>
          </w:p>
        </w:tc>
        <w:tc>
          <w:tcPr>
            <w:tcW w:w="2119" w:type="dxa"/>
            <w:tcBorders>
              <w:top w:val="nil"/>
              <w:left w:val="nil"/>
              <w:right w:val="nil"/>
            </w:tcBorders>
            <w:vAlign w:val="bottom"/>
          </w:tcPr>
          <w:p w14:paraId="6E644F5F" w14:textId="1638BA52" w:rsidR="00B4308B" w:rsidRPr="00B2361E" w:rsidRDefault="00B4308B" w:rsidP="00CF6E37">
            <w:pPr>
              <w:pStyle w:val="Tabletext"/>
              <w:jc w:val="right"/>
            </w:pPr>
            <w:r>
              <w:rPr>
                <w:spacing w:val="-3"/>
              </w:rPr>
              <w:t>15</w:t>
            </w:r>
            <w:r w:rsidRPr="001D200E">
              <w:rPr>
                <w:spacing w:val="-3"/>
              </w:rPr>
              <w:t>.</w:t>
            </w:r>
            <w:r>
              <w:rPr>
                <w:spacing w:val="-3"/>
              </w:rPr>
              <w:t>5</w:t>
            </w:r>
          </w:p>
        </w:tc>
        <w:tc>
          <w:tcPr>
            <w:tcW w:w="929" w:type="dxa"/>
            <w:tcBorders>
              <w:top w:val="nil"/>
              <w:left w:val="nil"/>
              <w:right w:val="nil"/>
            </w:tcBorders>
            <w:vAlign w:val="bottom"/>
          </w:tcPr>
          <w:p w14:paraId="1945F2F0" w14:textId="77777777" w:rsidR="00B4308B" w:rsidRPr="00191CEC" w:rsidRDefault="00B4308B" w:rsidP="00CF6E37">
            <w:pPr>
              <w:pStyle w:val="Tabletext"/>
              <w:jc w:val="right"/>
              <w:rPr>
                <w:spacing w:val="-3"/>
                <w:highlight w:val="yellow"/>
              </w:rPr>
            </w:pPr>
          </w:p>
        </w:tc>
        <w:tc>
          <w:tcPr>
            <w:tcW w:w="1039" w:type="dxa"/>
            <w:tcBorders>
              <w:top w:val="nil"/>
              <w:left w:val="nil"/>
              <w:right w:val="nil"/>
            </w:tcBorders>
            <w:vAlign w:val="bottom"/>
          </w:tcPr>
          <w:p w14:paraId="2B85ABBE" w14:textId="77777777" w:rsidR="00B4308B" w:rsidRPr="00191CEC" w:rsidRDefault="00B4308B" w:rsidP="00CF6E37">
            <w:pPr>
              <w:pStyle w:val="Tabletext"/>
              <w:jc w:val="right"/>
              <w:rPr>
                <w:spacing w:val="-3"/>
                <w:highlight w:val="yellow"/>
              </w:rPr>
            </w:pPr>
          </w:p>
        </w:tc>
        <w:tc>
          <w:tcPr>
            <w:tcW w:w="910" w:type="dxa"/>
            <w:tcBorders>
              <w:top w:val="nil"/>
              <w:left w:val="nil"/>
              <w:right w:val="nil"/>
            </w:tcBorders>
            <w:vAlign w:val="bottom"/>
          </w:tcPr>
          <w:p w14:paraId="421A6799" w14:textId="77777777" w:rsidR="00B4308B" w:rsidRPr="00191CEC" w:rsidRDefault="00B4308B" w:rsidP="00CF6E37">
            <w:pPr>
              <w:pStyle w:val="Tabletext"/>
              <w:jc w:val="right"/>
              <w:rPr>
                <w:spacing w:val="-3"/>
                <w:highlight w:val="yellow"/>
              </w:rPr>
            </w:pPr>
          </w:p>
        </w:tc>
        <w:tc>
          <w:tcPr>
            <w:tcW w:w="872" w:type="dxa"/>
            <w:tcBorders>
              <w:top w:val="nil"/>
              <w:left w:val="nil"/>
              <w:right w:val="nil"/>
            </w:tcBorders>
            <w:shd w:val="clear" w:color="auto" w:fill="EAF4F5"/>
            <w:vAlign w:val="bottom"/>
          </w:tcPr>
          <w:p w14:paraId="0A052EAE" w14:textId="380DD09E" w:rsidR="00B4308B" w:rsidRPr="00B4308B" w:rsidRDefault="00B4308B" w:rsidP="00CF6E37">
            <w:pPr>
              <w:pStyle w:val="Tabletext"/>
              <w:jc w:val="right"/>
              <w:rPr>
                <w:b/>
                <w:spacing w:val="-3"/>
              </w:rPr>
            </w:pPr>
            <w:r>
              <w:rPr>
                <w:b/>
                <w:spacing w:val="-3"/>
              </w:rPr>
              <w:t>22.6</w:t>
            </w:r>
          </w:p>
        </w:tc>
        <w:tc>
          <w:tcPr>
            <w:tcW w:w="930" w:type="dxa"/>
            <w:tcBorders>
              <w:top w:val="nil"/>
              <w:left w:val="nil"/>
              <w:right w:val="nil"/>
            </w:tcBorders>
            <w:shd w:val="clear" w:color="auto" w:fill="auto"/>
            <w:vAlign w:val="bottom"/>
          </w:tcPr>
          <w:p w14:paraId="03DC7160" w14:textId="77777777" w:rsidR="00B4308B" w:rsidRPr="00191CEC" w:rsidRDefault="00B4308B" w:rsidP="00CF6E37">
            <w:pPr>
              <w:pStyle w:val="Tabletext"/>
              <w:jc w:val="right"/>
              <w:rPr>
                <w:b/>
                <w:bCs/>
                <w:highlight w:val="yellow"/>
              </w:rPr>
            </w:pPr>
          </w:p>
        </w:tc>
      </w:tr>
      <w:tr w:rsidR="00B4308B" w:rsidRPr="009F2075" w14:paraId="74E9C56B" w14:textId="77777777" w:rsidTr="00B4308B">
        <w:tc>
          <w:tcPr>
            <w:tcW w:w="2273" w:type="dxa"/>
            <w:tcBorders>
              <w:left w:val="nil"/>
              <w:bottom w:val="single" w:sz="4" w:space="0" w:color="93B7BB"/>
              <w:right w:val="nil"/>
            </w:tcBorders>
          </w:tcPr>
          <w:p w14:paraId="0085B88E" w14:textId="7741CF74" w:rsidR="00B4308B" w:rsidRPr="00B2361E" w:rsidRDefault="00B4308B" w:rsidP="00CF6E37">
            <w:pPr>
              <w:pStyle w:val="Tabletext"/>
            </w:pPr>
            <w:r w:rsidRPr="001D200E">
              <w:rPr>
                <w:spacing w:val="-3"/>
              </w:rPr>
              <w:t xml:space="preserve">Total </w:t>
            </w:r>
            <w:r>
              <w:rPr>
                <w:spacing w:val="-3"/>
              </w:rPr>
              <w:t xml:space="preserve">PMI </w:t>
            </w:r>
            <w:r w:rsidRPr="001D200E">
              <w:rPr>
                <w:spacing w:val="-3"/>
              </w:rPr>
              <w:t>revenue</w:t>
            </w:r>
          </w:p>
        </w:tc>
        <w:tc>
          <w:tcPr>
            <w:tcW w:w="2119" w:type="dxa"/>
            <w:tcBorders>
              <w:left w:val="nil"/>
              <w:bottom w:val="single" w:sz="4" w:space="0" w:color="93B7BB"/>
              <w:right w:val="nil"/>
            </w:tcBorders>
            <w:vAlign w:val="bottom"/>
          </w:tcPr>
          <w:p w14:paraId="2505BE62" w14:textId="1950A034" w:rsidR="00B4308B" w:rsidRPr="00B2361E" w:rsidRDefault="00B4308B" w:rsidP="00CF6E37">
            <w:pPr>
              <w:pStyle w:val="Tabletext"/>
              <w:jc w:val="right"/>
            </w:pPr>
            <w:r>
              <w:rPr>
                <w:spacing w:val="-3"/>
              </w:rPr>
              <w:t>432</w:t>
            </w:r>
            <w:r w:rsidRPr="001D200E">
              <w:rPr>
                <w:spacing w:val="-3"/>
              </w:rPr>
              <w:t>.</w:t>
            </w:r>
            <w:r>
              <w:rPr>
                <w:spacing w:val="-3"/>
              </w:rPr>
              <w:t>4</w:t>
            </w:r>
          </w:p>
        </w:tc>
        <w:tc>
          <w:tcPr>
            <w:tcW w:w="929" w:type="dxa"/>
            <w:tcBorders>
              <w:left w:val="nil"/>
              <w:bottom w:val="single" w:sz="4" w:space="0" w:color="93B7BB"/>
              <w:right w:val="nil"/>
            </w:tcBorders>
            <w:vAlign w:val="bottom"/>
          </w:tcPr>
          <w:p w14:paraId="6865822D" w14:textId="7317F5C0" w:rsidR="00B4308B" w:rsidRPr="00B2361E" w:rsidRDefault="00B4308B" w:rsidP="00CF6E37">
            <w:pPr>
              <w:pStyle w:val="Tabletext"/>
              <w:jc w:val="right"/>
            </w:pPr>
          </w:p>
        </w:tc>
        <w:tc>
          <w:tcPr>
            <w:tcW w:w="1039" w:type="dxa"/>
            <w:tcBorders>
              <w:left w:val="nil"/>
              <w:bottom w:val="single" w:sz="4" w:space="0" w:color="93B7BB"/>
              <w:right w:val="nil"/>
            </w:tcBorders>
            <w:vAlign w:val="bottom"/>
          </w:tcPr>
          <w:p w14:paraId="193FF61E" w14:textId="41BFB88E" w:rsidR="00B4308B" w:rsidRPr="00B2361E" w:rsidRDefault="00B4308B" w:rsidP="00CF6E37">
            <w:pPr>
              <w:pStyle w:val="Tabletext"/>
              <w:jc w:val="right"/>
            </w:pPr>
          </w:p>
        </w:tc>
        <w:tc>
          <w:tcPr>
            <w:tcW w:w="910" w:type="dxa"/>
            <w:tcBorders>
              <w:left w:val="nil"/>
              <w:bottom w:val="single" w:sz="4" w:space="0" w:color="93B7BB"/>
              <w:right w:val="nil"/>
            </w:tcBorders>
            <w:vAlign w:val="bottom"/>
          </w:tcPr>
          <w:p w14:paraId="45D19F23" w14:textId="451E9826" w:rsidR="00B4308B" w:rsidRPr="00B2361E" w:rsidRDefault="00B4308B" w:rsidP="00CF6E37">
            <w:pPr>
              <w:pStyle w:val="Tabletext"/>
              <w:jc w:val="right"/>
            </w:pPr>
          </w:p>
        </w:tc>
        <w:tc>
          <w:tcPr>
            <w:tcW w:w="872" w:type="dxa"/>
            <w:tcBorders>
              <w:left w:val="nil"/>
              <w:bottom w:val="single" w:sz="4" w:space="0" w:color="93B7BB"/>
              <w:right w:val="nil"/>
            </w:tcBorders>
            <w:shd w:val="clear" w:color="auto" w:fill="EAF4F5"/>
            <w:vAlign w:val="bottom"/>
          </w:tcPr>
          <w:p w14:paraId="15D2CB13" w14:textId="5C0CA11A" w:rsidR="00B4308B" w:rsidRPr="00B4308B" w:rsidRDefault="00B4308B" w:rsidP="00B4308B">
            <w:pPr>
              <w:pStyle w:val="Tabletext"/>
              <w:jc w:val="right"/>
              <w:rPr>
                <w:b/>
              </w:rPr>
            </w:pPr>
            <w:r>
              <w:rPr>
                <w:b/>
                <w:spacing w:val="-3"/>
              </w:rPr>
              <w:t>434.8</w:t>
            </w:r>
          </w:p>
        </w:tc>
        <w:tc>
          <w:tcPr>
            <w:tcW w:w="930" w:type="dxa"/>
            <w:tcBorders>
              <w:left w:val="nil"/>
              <w:bottom w:val="single" w:sz="4" w:space="0" w:color="93B7BB"/>
              <w:right w:val="nil"/>
            </w:tcBorders>
            <w:shd w:val="clear" w:color="auto" w:fill="auto"/>
            <w:vAlign w:val="bottom"/>
          </w:tcPr>
          <w:p w14:paraId="52C544B5" w14:textId="7E42C4D7" w:rsidR="00B4308B" w:rsidRPr="00B2361E" w:rsidRDefault="00B4308B" w:rsidP="00CF6E37">
            <w:pPr>
              <w:pStyle w:val="Tabletext"/>
              <w:jc w:val="right"/>
              <w:rPr>
                <w:b/>
                <w:bCs/>
              </w:rPr>
            </w:pPr>
            <w:r>
              <w:rPr>
                <w:b/>
                <w:bCs/>
                <w:spacing w:val="-1"/>
              </w:rPr>
              <w:t>0.6</w:t>
            </w:r>
            <w:r w:rsidRPr="00B2361E">
              <w:rPr>
                <w:b/>
                <w:bCs/>
                <w:spacing w:val="-1"/>
              </w:rPr>
              <w:t>%</w:t>
            </w:r>
          </w:p>
        </w:tc>
      </w:tr>
    </w:tbl>
    <w:p w14:paraId="6CB3F76C" w14:textId="77777777" w:rsidR="000951BF" w:rsidRDefault="000951BF" w:rsidP="008F5418">
      <w:pPr>
        <w:pStyle w:val="Footnote"/>
      </w:pPr>
    </w:p>
    <w:p w14:paraId="5EC679C9" w14:textId="357FD662" w:rsidR="008F5418" w:rsidRPr="009F2075" w:rsidRDefault="00B4308B" w:rsidP="0050102D">
      <w:pPr>
        <w:jc w:val="both"/>
      </w:pPr>
      <w:r>
        <w:t xml:space="preserve">PMI revenue for the year ended 31 December 2015 increased by £2.4 million, or 0.6%, </w:t>
      </w:r>
      <w:r w:rsidR="00F47C48">
        <w:t>to £434.8 million (2014: £</w:t>
      </w:r>
      <w:r>
        <w:t>432.4 million</w:t>
      </w:r>
      <w:r w:rsidR="00F47C48">
        <w:t>)</w:t>
      </w:r>
      <w:r>
        <w:t xml:space="preserve">. Underlying growth, excluding revenue relating to Spire St Saviour’s and Spire St Anthony’s </w:t>
      </w:r>
      <w:r w:rsidR="00407178">
        <w:t>h</w:t>
      </w:r>
      <w:r>
        <w:t>ospitals, fell by 1.1</w:t>
      </w:r>
      <w:r w:rsidR="008141EA" w:rsidRPr="009F2075">
        <w:t>%</w:t>
      </w:r>
      <w:r w:rsidR="008F5418" w:rsidRPr="009F2075">
        <w:t>.</w:t>
      </w:r>
    </w:p>
    <w:p w14:paraId="7F3AF772" w14:textId="5E90E7D3" w:rsidR="008F5418" w:rsidRPr="009F2075" w:rsidRDefault="008F5418" w:rsidP="0050102D">
      <w:pPr>
        <w:jc w:val="both"/>
      </w:pPr>
      <w:r w:rsidRPr="009F2075">
        <w:t xml:space="preserve">Of the underlying </w:t>
      </w:r>
      <w:r w:rsidR="00F47C48">
        <w:t xml:space="preserve">fall </w:t>
      </w:r>
      <w:r w:rsidR="0029787C" w:rsidRPr="009F2075">
        <w:t xml:space="preserve">in PMI revenue </w:t>
      </w:r>
      <w:r w:rsidRPr="009F2075">
        <w:t xml:space="preserve">of </w:t>
      </w:r>
      <w:r w:rsidR="00F47C48">
        <w:t>1.1</w:t>
      </w:r>
      <w:r w:rsidR="008141EA" w:rsidRPr="009F2075">
        <w:t>%</w:t>
      </w:r>
      <w:r w:rsidRPr="009F2075">
        <w:t>:</w:t>
      </w:r>
    </w:p>
    <w:p w14:paraId="1C216C9D" w14:textId="5202A990" w:rsidR="00F47C48" w:rsidRDefault="00F47C48" w:rsidP="00562DCC">
      <w:pPr>
        <w:pStyle w:val="Bullet1"/>
        <w:jc w:val="both"/>
      </w:pPr>
      <w:r>
        <w:t xml:space="preserve">an increase </w:t>
      </w:r>
      <w:r w:rsidR="001D1EE4">
        <w:t xml:space="preserve">of </w:t>
      </w:r>
      <w:r w:rsidR="001D1EE4" w:rsidRPr="00202A87">
        <w:t>0.2%</w:t>
      </w:r>
      <w:r w:rsidR="001D1EE4">
        <w:t xml:space="preserve"> in the volume of in-patient and daycase admissions accounted for a 0.2% increase in PMI revenue in the year</w:t>
      </w:r>
      <w:r>
        <w:t>;</w:t>
      </w:r>
    </w:p>
    <w:p w14:paraId="31AB5D9F" w14:textId="32EF1B96" w:rsidR="001D1EE4" w:rsidRDefault="001D1EE4" w:rsidP="00562DCC">
      <w:pPr>
        <w:pStyle w:val="Bullet1"/>
        <w:jc w:val="both"/>
      </w:pPr>
      <w:proofErr w:type="gramStart"/>
      <w:r>
        <w:t>overall</w:t>
      </w:r>
      <w:proofErr w:type="gramEnd"/>
      <w:r>
        <w:t xml:space="preserve"> the proportion of daycase admissions increased from </w:t>
      </w:r>
      <w:r w:rsidRPr="0093549E">
        <w:t>73.9%</w:t>
      </w:r>
      <w:r>
        <w:t xml:space="preserve"> of PMI admissions in 2014 to </w:t>
      </w:r>
      <w:r w:rsidRPr="0093549E">
        <w:t>75.8%</w:t>
      </w:r>
      <w:r>
        <w:t xml:space="preserve"> of PMI admissions in 2015. This mix shift in admissions had an adverse impact on average revenue per case and on out</w:t>
      </w:r>
      <w:r w:rsidR="00846CDD">
        <w:t>-</w:t>
      </w:r>
      <w:r>
        <w:t>patient revenue associated with the patient episodes;</w:t>
      </w:r>
    </w:p>
    <w:p w14:paraId="2A7C02DA" w14:textId="17436113" w:rsidR="001D1EE4" w:rsidRDefault="001D1EE4" w:rsidP="00562DCC">
      <w:pPr>
        <w:pStyle w:val="Bullet1"/>
        <w:jc w:val="both"/>
      </w:pPr>
      <w:proofErr w:type="gramStart"/>
      <w:r>
        <w:t>t</w:t>
      </w:r>
      <w:r w:rsidRPr="00CB3927">
        <w:t>he</w:t>
      </w:r>
      <w:proofErr w:type="gramEnd"/>
      <w:r w:rsidRPr="00CB3927">
        <w:t xml:space="preserve"> Group reported a comparable decline of 0.3% in the rate of in-patient and daycase (average revenue per case). As explained above</w:t>
      </w:r>
      <w:r>
        <w:t xml:space="preserve"> this is largely a product of mix. Relative to 2014, the average rate per case for 2015, on an equivalent mix of PMI admissions, increased by 2.4%;</w:t>
      </w:r>
    </w:p>
    <w:p w14:paraId="252B58C4" w14:textId="1A020C08" w:rsidR="00BB16FC" w:rsidRDefault="001D1EE4" w:rsidP="00562DCC">
      <w:pPr>
        <w:pStyle w:val="Bullet1"/>
        <w:jc w:val="both"/>
      </w:pPr>
      <w:proofErr w:type="gramStart"/>
      <w:r>
        <w:t>inflation</w:t>
      </w:r>
      <w:proofErr w:type="gramEnd"/>
      <w:r>
        <w:t xml:space="preserve"> plus rate rises for in-patient and daycase admissions tempered overall by reductions in the rates achieved for out</w:t>
      </w:r>
      <w:r w:rsidR="00846CDD">
        <w:t>-</w:t>
      </w:r>
      <w:r>
        <w:t>patient activities. Overall PMI price increases for 2015 were positive but sub-inflationary</w:t>
      </w:r>
      <w:r w:rsidR="00BB16FC">
        <w:t>; and</w:t>
      </w:r>
    </w:p>
    <w:p w14:paraId="0AF9297B" w14:textId="6378679D" w:rsidR="00BB16FC" w:rsidRPr="00B2361E" w:rsidRDefault="001D1EE4" w:rsidP="00562DCC">
      <w:pPr>
        <w:pStyle w:val="Bullet1"/>
        <w:jc w:val="both"/>
      </w:pPr>
      <w:proofErr w:type="gramStart"/>
      <w:r>
        <w:t>out</w:t>
      </w:r>
      <w:r w:rsidR="00846CDD">
        <w:t>-</w:t>
      </w:r>
      <w:r>
        <w:t>patient</w:t>
      </w:r>
      <w:proofErr w:type="gramEnd"/>
      <w:r>
        <w:t xml:space="preserve"> revenue declined in the year, equivalent to a 1.1% decline in overall underlying PMI revenue. This was a combination of lower out</w:t>
      </w:r>
      <w:r w:rsidR="00846CDD">
        <w:t>-</w:t>
      </w:r>
      <w:r>
        <w:t>patient activity levels arising from the daycase surgery mix and the bias of 2015 price increases towards in-patient and daycase surgical activities</w:t>
      </w:r>
      <w:r w:rsidR="00BB16FC">
        <w:t>.</w:t>
      </w:r>
    </w:p>
    <w:p w14:paraId="74C4C53C" w14:textId="77777777" w:rsidR="008F5418" w:rsidRPr="009F2075" w:rsidRDefault="008F5418" w:rsidP="00B2361E">
      <w:pPr>
        <w:pStyle w:val="Heading4"/>
      </w:pPr>
      <w:r w:rsidRPr="009F2075">
        <w:t>NHS</w:t>
      </w:r>
    </w:p>
    <w:tbl>
      <w:tblPr>
        <w:tblW w:w="9072" w:type="dxa"/>
        <w:tblLayout w:type="fixed"/>
        <w:tblCellMar>
          <w:left w:w="0" w:type="dxa"/>
          <w:right w:w="57" w:type="dxa"/>
        </w:tblCellMar>
        <w:tblLook w:val="0000" w:firstRow="0" w:lastRow="0" w:firstColumn="0" w:lastColumn="0" w:noHBand="0" w:noVBand="0"/>
      </w:tblPr>
      <w:tblGrid>
        <w:gridCol w:w="2273"/>
        <w:gridCol w:w="2119"/>
        <w:gridCol w:w="929"/>
        <w:gridCol w:w="1039"/>
        <w:gridCol w:w="910"/>
        <w:gridCol w:w="872"/>
        <w:gridCol w:w="930"/>
      </w:tblGrid>
      <w:tr w:rsidR="001D1EE4" w:rsidRPr="008F5418" w14:paraId="3119325B" w14:textId="77777777" w:rsidTr="00CF6E37">
        <w:tc>
          <w:tcPr>
            <w:tcW w:w="4392" w:type="dxa"/>
            <w:gridSpan w:val="2"/>
            <w:tcBorders>
              <w:top w:val="nil"/>
              <w:left w:val="nil"/>
              <w:bottom w:val="nil"/>
              <w:right w:val="nil"/>
            </w:tcBorders>
            <w:vAlign w:val="bottom"/>
          </w:tcPr>
          <w:p w14:paraId="4BFFC136" w14:textId="77777777" w:rsidR="001D1EE4" w:rsidRPr="008F5418" w:rsidRDefault="001D1EE4" w:rsidP="00CF6E37">
            <w:pPr>
              <w:pStyle w:val="Tableheading"/>
              <w:jc w:val="right"/>
            </w:pPr>
          </w:p>
        </w:tc>
        <w:tc>
          <w:tcPr>
            <w:tcW w:w="929" w:type="dxa"/>
            <w:tcBorders>
              <w:top w:val="nil"/>
              <w:left w:val="nil"/>
              <w:right w:val="nil"/>
            </w:tcBorders>
            <w:vAlign w:val="bottom"/>
          </w:tcPr>
          <w:p w14:paraId="2DA40AF0" w14:textId="77777777" w:rsidR="001D1EE4" w:rsidRPr="008F5418" w:rsidRDefault="001D1EE4" w:rsidP="00CF6E37">
            <w:pPr>
              <w:pStyle w:val="Tableheading"/>
              <w:jc w:val="right"/>
            </w:pPr>
            <w:r w:rsidRPr="008F5418">
              <w:t>In-patient/</w:t>
            </w:r>
            <w:r>
              <w:br/>
            </w:r>
            <w:r w:rsidRPr="008F5418">
              <w:t>daycase</w:t>
            </w:r>
          </w:p>
        </w:tc>
        <w:tc>
          <w:tcPr>
            <w:tcW w:w="1039" w:type="dxa"/>
            <w:tcBorders>
              <w:top w:val="nil"/>
              <w:left w:val="nil"/>
              <w:right w:val="nil"/>
            </w:tcBorders>
            <w:vAlign w:val="bottom"/>
          </w:tcPr>
          <w:p w14:paraId="09445642" w14:textId="77777777" w:rsidR="001D1EE4" w:rsidRPr="008F5418" w:rsidRDefault="001D1EE4" w:rsidP="00CF6E37">
            <w:pPr>
              <w:pStyle w:val="Tableheading"/>
              <w:jc w:val="right"/>
            </w:pPr>
            <w:r w:rsidRPr="008F5418">
              <w:t>In-patient/</w:t>
            </w:r>
            <w:r>
              <w:br/>
            </w:r>
            <w:r w:rsidRPr="008F5418">
              <w:t>daycase</w:t>
            </w:r>
          </w:p>
        </w:tc>
        <w:tc>
          <w:tcPr>
            <w:tcW w:w="2712" w:type="dxa"/>
            <w:gridSpan w:val="3"/>
            <w:tcBorders>
              <w:top w:val="nil"/>
              <w:left w:val="nil"/>
              <w:bottom w:val="nil"/>
              <w:right w:val="nil"/>
            </w:tcBorders>
            <w:vAlign w:val="bottom"/>
          </w:tcPr>
          <w:p w14:paraId="1DADD6E1" w14:textId="77777777" w:rsidR="001D1EE4" w:rsidRPr="008F5418" w:rsidRDefault="001D1EE4" w:rsidP="00CF6E37">
            <w:pPr>
              <w:pStyle w:val="Tableheading"/>
              <w:jc w:val="right"/>
            </w:pPr>
          </w:p>
        </w:tc>
      </w:tr>
      <w:tr w:rsidR="001D1EE4" w:rsidRPr="008F5418" w14:paraId="23089B5A" w14:textId="77777777" w:rsidTr="00CF6E37">
        <w:tc>
          <w:tcPr>
            <w:tcW w:w="2273" w:type="dxa"/>
            <w:tcBorders>
              <w:top w:val="nil"/>
              <w:left w:val="nil"/>
              <w:bottom w:val="single" w:sz="4" w:space="0" w:color="93B7BB"/>
              <w:right w:val="nil"/>
            </w:tcBorders>
          </w:tcPr>
          <w:p w14:paraId="2EADA4E0" w14:textId="77777777" w:rsidR="001D1EE4" w:rsidRPr="0005191D" w:rsidRDefault="001D1EE4" w:rsidP="00CF6E37">
            <w:pPr>
              <w:pStyle w:val="Tableheading"/>
              <w:rPr>
                <w:b/>
                <w:bCs/>
              </w:rPr>
            </w:pPr>
            <w:r w:rsidRPr="0005191D">
              <w:rPr>
                <w:b/>
                <w:bCs/>
              </w:rPr>
              <w:t>(£ million)</w:t>
            </w:r>
          </w:p>
        </w:tc>
        <w:tc>
          <w:tcPr>
            <w:tcW w:w="2119" w:type="dxa"/>
            <w:tcBorders>
              <w:top w:val="nil"/>
              <w:left w:val="nil"/>
              <w:bottom w:val="single" w:sz="4" w:space="0" w:color="93B7BB"/>
              <w:right w:val="nil"/>
            </w:tcBorders>
            <w:vAlign w:val="bottom"/>
          </w:tcPr>
          <w:p w14:paraId="569AFAB8" w14:textId="77777777" w:rsidR="001D1EE4" w:rsidRPr="008F5418" w:rsidRDefault="001D1EE4" w:rsidP="00CF6E37">
            <w:pPr>
              <w:pStyle w:val="Tableheading"/>
              <w:jc w:val="right"/>
            </w:pPr>
            <w:r w:rsidRPr="008F5418">
              <w:t>201</w:t>
            </w:r>
            <w:r>
              <w:t>4</w:t>
            </w:r>
          </w:p>
        </w:tc>
        <w:tc>
          <w:tcPr>
            <w:tcW w:w="929" w:type="dxa"/>
            <w:tcBorders>
              <w:top w:val="nil"/>
              <w:left w:val="nil"/>
              <w:bottom w:val="single" w:sz="4" w:space="0" w:color="93B7BB"/>
              <w:right w:val="nil"/>
            </w:tcBorders>
            <w:vAlign w:val="bottom"/>
          </w:tcPr>
          <w:p w14:paraId="12913A6A" w14:textId="77777777" w:rsidR="001D1EE4" w:rsidRPr="008F5418" w:rsidRDefault="001D1EE4" w:rsidP="00CF6E37">
            <w:pPr>
              <w:pStyle w:val="Tableheading"/>
              <w:jc w:val="right"/>
            </w:pPr>
            <w:r>
              <w:t>v</w:t>
            </w:r>
            <w:r w:rsidRPr="008F5418">
              <w:t>olume</w:t>
            </w:r>
          </w:p>
        </w:tc>
        <w:tc>
          <w:tcPr>
            <w:tcW w:w="1039" w:type="dxa"/>
            <w:tcBorders>
              <w:top w:val="nil"/>
              <w:left w:val="nil"/>
              <w:bottom w:val="single" w:sz="4" w:space="0" w:color="93B7BB"/>
              <w:right w:val="nil"/>
            </w:tcBorders>
            <w:vAlign w:val="bottom"/>
          </w:tcPr>
          <w:p w14:paraId="687AB89E" w14:textId="77777777" w:rsidR="001D1EE4" w:rsidRPr="008F5418" w:rsidRDefault="001D1EE4" w:rsidP="00CF6E37">
            <w:pPr>
              <w:pStyle w:val="Tableheading"/>
              <w:jc w:val="right"/>
            </w:pPr>
            <w:r>
              <w:t>rate</w:t>
            </w:r>
          </w:p>
        </w:tc>
        <w:tc>
          <w:tcPr>
            <w:tcW w:w="910" w:type="dxa"/>
            <w:tcBorders>
              <w:top w:val="nil"/>
              <w:left w:val="nil"/>
              <w:bottom w:val="single" w:sz="4" w:space="0" w:color="93B7BB"/>
              <w:right w:val="nil"/>
            </w:tcBorders>
            <w:vAlign w:val="bottom"/>
          </w:tcPr>
          <w:p w14:paraId="47096382" w14:textId="77777777" w:rsidR="001D1EE4" w:rsidRPr="008F5418" w:rsidRDefault="001D1EE4" w:rsidP="00CF6E37">
            <w:pPr>
              <w:pStyle w:val="Tableheading"/>
              <w:jc w:val="right"/>
            </w:pPr>
            <w:r w:rsidRPr="008F5418">
              <w:t>Out-patient</w:t>
            </w:r>
          </w:p>
        </w:tc>
        <w:tc>
          <w:tcPr>
            <w:tcW w:w="872" w:type="dxa"/>
            <w:tcBorders>
              <w:top w:val="nil"/>
              <w:left w:val="nil"/>
              <w:bottom w:val="single" w:sz="4" w:space="0" w:color="93B7BB"/>
              <w:right w:val="nil"/>
            </w:tcBorders>
            <w:vAlign w:val="bottom"/>
          </w:tcPr>
          <w:p w14:paraId="4E3B5176" w14:textId="77777777" w:rsidR="001D1EE4" w:rsidRPr="008F5418" w:rsidRDefault="001D1EE4" w:rsidP="00CF6E37">
            <w:pPr>
              <w:pStyle w:val="Tableheading"/>
              <w:jc w:val="right"/>
            </w:pPr>
            <w:r w:rsidRPr="008F5418">
              <w:rPr>
                <w:b/>
                <w:bCs/>
              </w:rPr>
              <w:t>201</w:t>
            </w:r>
            <w:r>
              <w:rPr>
                <w:b/>
                <w:bCs/>
              </w:rPr>
              <w:t>5</w:t>
            </w:r>
          </w:p>
        </w:tc>
        <w:tc>
          <w:tcPr>
            <w:tcW w:w="930" w:type="dxa"/>
            <w:tcBorders>
              <w:top w:val="nil"/>
              <w:left w:val="nil"/>
              <w:bottom w:val="single" w:sz="4" w:space="0" w:color="93B7BB"/>
              <w:right w:val="nil"/>
            </w:tcBorders>
            <w:vAlign w:val="bottom"/>
          </w:tcPr>
          <w:p w14:paraId="54B0F089" w14:textId="77777777" w:rsidR="001D1EE4" w:rsidRPr="008F5418" w:rsidRDefault="001D1EE4" w:rsidP="00CF6E37">
            <w:pPr>
              <w:pStyle w:val="Tableheading"/>
              <w:jc w:val="right"/>
              <w:rPr>
                <w:b/>
                <w:bCs/>
              </w:rPr>
            </w:pPr>
            <w:r>
              <w:rPr>
                <w:b/>
                <w:bCs/>
              </w:rPr>
              <w:t>Growth</w:t>
            </w:r>
          </w:p>
        </w:tc>
      </w:tr>
      <w:tr w:rsidR="001D1EE4" w:rsidRPr="009F2075" w14:paraId="13B58920" w14:textId="77777777" w:rsidTr="00CF6E37">
        <w:tc>
          <w:tcPr>
            <w:tcW w:w="2273" w:type="dxa"/>
            <w:tcBorders>
              <w:top w:val="single" w:sz="4" w:space="0" w:color="93B7BB"/>
              <w:left w:val="nil"/>
              <w:right w:val="nil"/>
            </w:tcBorders>
          </w:tcPr>
          <w:p w14:paraId="1C3C8E89" w14:textId="50F5286F" w:rsidR="001D1EE4" w:rsidRPr="00B2361E" w:rsidRDefault="001D1EE4" w:rsidP="001D1EE4">
            <w:pPr>
              <w:pStyle w:val="Tabletext"/>
            </w:pPr>
            <w:r>
              <w:rPr>
                <w:spacing w:val="-3"/>
              </w:rPr>
              <w:t xml:space="preserve">Underlying NHS </w:t>
            </w:r>
            <w:r w:rsidRPr="00B2361E">
              <w:t>reve</w:t>
            </w:r>
            <w:r w:rsidRPr="00B2361E">
              <w:rPr>
                <w:spacing w:val="-4"/>
              </w:rPr>
              <w:t>nu</w:t>
            </w:r>
            <w:r w:rsidRPr="00B2361E">
              <w:t>e</w:t>
            </w:r>
          </w:p>
        </w:tc>
        <w:tc>
          <w:tcPr>
            <w:tcW w:w="2119" w:type="dxa"/>
            <w:tcBorders>
              <w:top w:val="single" w:sz="4" w:space="0" w:color="93B7BB"/>
              <w:left w:val="nil"/>
              <w:right w:val="nil"/>
            </w:tcBorders>
            <w:vAlign w:val="bottom"/>
          </w:tcPr>
          <w:p w14:paraId="5A34D225" w14:textId="5C800B9E" w:rsidR="001D1EE4" w:rsidRPr="00B2361E" w:rsidRDefault="007751BB" w:rsidP="007751BB">
            <w:pPr>
              <w:pStyle w:val="Tabletext"/>
              <w:jc w:val="right"/>
            </w:pPr>
            <w:r>
              <w:rPr>
                <w:spacing w:val="-3"/>
              </w:rPr>
              <w:t>238.8</w:t>
            </w:r>
          </w:p>
        </w:tc>
        <w:tc>
          <w:tcPr>
            <w:tcW w:w="929" w:type="dxa"/>
            <w:tcBorders>
              <w:top w:val="single" w:sz="4" w:space="0" w:color="93B7BB"/>
              <w:left w:val="nil"/>
              <w:right w:val="nil"/>
            </w:tcBorders>
            <w:vAlign w:val="bottom"/>
          </w:tcPr>
          <w:p w14:paraId="376EAE02" w14:textId="64AA86DF" w:rsidR="001D1EE4" w:rsidRPr="00B2361E" w:rsidRDefault="007751BB" w:rsidP="007751BB">
            <w:pPr>
              <w:pStyle w:val="Tabletext"/>
              <w:jc w:val="right"/>
            </w:pPr>
            <w:r>
              <w:rPr>
                <w:spacing w:val="-3"/>
              </w:rPr>
              <w:t>11</w:t>
            </w:r>
            <w:r w:rsidR="001D1EE4" w:rsidRPr="001D200E">
              <w:rPr>
                <w:spacing w:val="-3"/>
              </w:rPr>
              <w:t>.</w:t>
            </w:r>
            <w:r>
              <w:rPr>
                <w:spacing w:val="-3"/>
              </w:rPr>
              <w:t>2</w:t>
            </w:r>
          </w:p>
        </w:tc>
        <w:tc>
          <w:tcPr>
            <w:tcW w:w="1039" w:type="dxa"/>
            <w:tcBorders>
              <w:top w:val="single" w:sz="4" w:space="0" w:color="93B7BB"/>
              <w:left w:val="nil"/>
              <w:right w:val="nil"/>
            </w:tcBorders>
            <w:vAlign w:val="bottom"/>
          </w:tcPr>
          <w:p w14:paraId="2C165107" w14:textId="1F8C2ED4" w:rsidR="001D1EE4" w:rsidRPr="00B2361E" w:rsidRDefault="001D1EE4" w:rsidP="007751BB">
            <w:pPr>
              <w:pStyle w:val="Tabletext"/>
              <w:jc w:val="right"/>
            </w:pPr>
            <w:r>
              <w:rPr>
                <w:spacing w:val="-3"/>
              </w:rPr>
              <w:t>(</w:t>
            </w:r>
            <w:r w:rsidR="007751BB">
              <w:rPr>
                <w:spacing w:val="-3"/>
              </w:rPr>
              <w:t>1.2</w:t>
            </w:r>
            <w:r>
              <w:rPr>
                <w:spacing w:val="-3"/>
              </w:rPr>
              <w:t>)</w:t>
            </w:r>
          </w:p>
        </w:tc>
        <w:tc>
          <w:tcPr>
            <w:tcW w:w="910" w:type="dxa"/>
            <w:tcBorders>
              <w:top w:val="single" w:sz="4" w:space="0" w:color="93B7BB"/>
              <w:left w:val="nil"/>
              <w:right w:val="nil"/>
            </w:tcBorders>
            <w:vAlign w:val="bottom"/>
          </w:tcPr>
          <w:p w14:paraId="6F2F4C43" w14:textId="4A4AD22C" w:rsidR="001D1EE4" w:rsidRPr="00B2361E" w:rsidRDefault="007751BB" w:rsidP="007751BB">
            <w:pPr>
              <w:pStyle w:val="Tabletext"/>
              <w:jc w:val="right"/>
            </w:pPr>
            <w:r>
              <w:rPr>
                <w:spacing w:val="-3"/>
              </w:rPr>
              <w:t>6.1</w:t>
            </w:r>
          </w:p>
        </w:tc>
        <w:tc>
          <w:tcPr>
            <w:tcW w:w="872" w:type="dxa"/>
            <w:tcBorders>
              <w:top w:val="single" w:sz="4" w:space="0" w:color="93B7BB"/>
              <w:left w:val="nil"/>
              <w:right w:val="nil"/>
            </w:tcBorders>
            <w:shd w:val="clear" w:color="auto" w:fill="EAF4F5"/>
            <w:vAlign w:val="bottom"/>
          </w:tcPr>
          <w:p w14:paraId="048D9490" w14:textId="41279173" w:rsidR="001D1EE4" w:rsidRPr="00B4308B" w:rsidRDefault="001D1EE4" w:rsidP="007751BB">
            <w:pPr>
              <w:pStyle w:val="Tabletext"/>
              <w:jc w:val="right"/>
              <w:rPr>
                <w:b/>
              </w:rPr>
            </w:pPr>
            <w:r w:rsidRPr="00B4308B">
              <w:rPr>
                <w:b/>
                <w:spacing w:val="-3"/>
              </w:rPr>
              <w:t>2</w:t>
            </w:r>
            <w:r w:rsidR="007751BB">
              <w:rPr>
                <w:b/>
                <w:spacing w:val="-3"/>
              </w:rPr>
              <w:t>54</w:t>
            </w:r>
            <w:r w:rsidRPr="00B4308B">
              <w:rPr>
                <w:b/>
                <w:spacing w:val="-3"/>
              </w:rPr>
              <w:t>.</w:t>
            </w:r>
            <w:r w:rsidR="007751BB">
              <w:rPr>
                <w:b/>
                <w:spacing w:val="-3"/>
              </w:rPr>
              <w:t>9</w:t>
            </w:r>
          </w:p>
        </w:tc>
        <w:tc>
          <w:tcPr>
            <w:tcW w:w="930" w:type="dxa"/>
            <w:tcBorders>
              <w:top w:val="single" w:sz="4" w:space="0" w:color="93B7BB"/>
              <w:left w:val="nil"/>
              <w:right w:val="nil"/>
            </w:tcBorders>
            <w:shd w:val="clear" w:color="auto" w:fill="auto"/>
            <w:vAlign w:val="bottom"/>
          </w:tcPr>
          <w:p w14:paraId="46891348" w14:textId="4BDCCC64" w:rsidR="001D1EE4" w:rsidRPr="00B2361E" w:rsidRDefault="007751BB" w:rsidP="007751BB">
            <w:pPr>
              <w:pStyle w:val="Tabletext"/>
              <w:jc w:val="right"/>
              <w:rPr>
                <w:b/>
                <w:bCs/>
              </w:rPr>
            </w:pPr>
            <w:r>
              <w:rPr>
                <w:b/>
                <w:bCs/>
                <w:spacing w:val="-3"/>
              </w:rPr>
              <w:t>6</w:t>
            </w:r>
            <w:r w:rsidR="001D1EE4" w:rsidRPr="00B4308B">
              <w:rPr>
                <w:b/>
                <w:bCs/>
                <w:spacing w:val="-3"/>
              </w:rPr>
              <w:t>.</w:t>
            </w:r>
            <w:r>
              <w:rPr>
                <w:b/>
                <w:bCs/>
                <w:spacing w:val="-3"/>
              </w:rPr>
              <w:t>7</w:t>
            </w:r>
            <w:r w:rsidR="001D1EE4" w:rsidRPr="00B4308B">
              <w:rPr>
                <w:b/>
                <w:bCs/>
                <w:spacing w:val="-3"/>
              </w:rPr>
              <w:t>%</w:t>
            </w:r>
          </w:p>
        </w:tc>
      </w:tr>
      <w:tr w:rsidR="001D1EE4" w:rsidRPr="009F2075" w14:paraId="5312E5EC" w14:textId="77777777" w:rsidTr="00CF6E37">
        <w:tc>
          <w:tcPr>
            <w:tcW w:w="2273" w:type="dxa"/>
            <w:tcBorders>
              <w:top w:val="nil"/>
              <w:left w:val="nil"/>
              <w:right w:val="nil"/>
            </w:tcBorders>
          </w:tcPr>
          <w:p w14:paraId="365A4D8B" w14:textId="77777777" w:rsidR="001D1EE4" w:rsidRPr="00B2361E" w:rsidRDefault="001D1EE4" w:rsidP="00CF6E37">
            <w:pPr>
              <w:pStyle w:val="Tabletext"/>
            </w:pPr>
            <w:r w:rsidRPr="001D200E">
              <w:rPr>
                <w:spacing w:val="-3"/>
              </w:rPr>
              <w:t>Acquisitions/disposals</w:t>
            </w:r>
          </w:p>
        </w:tc>
        <w:tc>
          <w:tcPr>
            <w:tcW w:w="2119" w:type="dxa"/>
            <w:tcBorders>
              <w:top w:val="nil"/>
              <w:left w:val="nil"/>
              <w:right w:val="nil"/>
            </w:tcBorders>
            <w:vAlign w:val="bottom"/>
          </w:tcPr>
          <w:p w14:paraId="415D9AD3" w14:textId="7AC917E0" w:rsidR="001D1EE4" w:rsidRPr="00B2361E" w:rsidRDefault="007751BB" w:rsidP="007751BB">
            <w:pPr>
              <w:pStyle w:val="Tabletext"/>
              <w:jc w:val="right"/>
            </w:pPr>
            <w:r>
              <w:rPr>
                <w:spacing w:val="-3"/>
              </w:rPr>
              <w:t>7.</w:t>
            </w:r>
            <w:r w:rsidR="001D1EE4">
              <w:rPr>
                <w:spacing w:val="-3"/>
              </w:rPr>
              <w:t>1</w:t>
            </w:r>
          </w:p>
        </w:tc>
        <w:tc>
          <w:tcPr>
            <w:tcW w:w="929" w:type="dxa"/>
            <w:tcBorders>
              <w:top w:val="nil"/>
              <w:left w:val="nil"/>
              <w:right w:val="nil"/>
            </w:tcBorders>
            <w:vAlign w:val="bottom"/>
          </w:tcPr>
          <w:p w14:paraId="3F095583" w14:textId="77777777" w:rsidR="001D1EE4" w:rsidRPr="00191CEC" w:rsidRDefault="001D1EE4" w:rsidP="00CF6E37">
            <w:pPr>
              <w:pStyle w:val="Tabletext"/>
              <w:jc w:val="right"/>
              <w:rPr>
                <w:spacing w:val="-3"/>
                <w:highlight w:val="yellow"/>
              </w:rPr>
            </w:pPr>
          </w:p>
        </w:tc>
        <w:tc>
          <w:tcPr>
            <w:tcW w:w="1039" w:type="dxa"/>
            <w:tcBorders>
              <w:top w:val="nil"/>
              <w:left w:val="nil"/>
              <w:right w:val="nil"/>
            </w:tcBorders>
            <w:vAlign w:val="bottom"/>
          </w:tcPr>
          <w:p w14:paraId="642259A8" w14:textId="77777777" w:rsidR="001D1EE4" w:rsidRPr="00191CEC" w:rsidRDefault="001D1EE4" w:rsidP="00CF6E37">
            <w:pPr>
              <w:pStyle w:val="Tabletext"/>
              <w:jc w:val="right"/>
              <w:rPr>
                <w:spacing w:val="-3"/>
                <w:highlight w:val="yellow"/>
              </w:rPr>
            </w:pPr>
          </w:p>
        </w:tc>
        <w:tc>
          <w:tcPr>
            <w:tcW w:w="910" w:type="dxa"/>
            <w:tcBorders>
              <w:top w:val="nil"/>
              <w:left w:val="nil"/>
              <w:right w:val="nil"/>
            </w:tcBorders>
            <w:vAlign w:val="bottom"/>
          </w:tcPr>
          <w:p w14:paraId="14D65E6C" w14:textId="77777777" w:rsidR="001D1EE4" w:rsidRPr="00191CEC" w:rsidRDefault="001D1EE4" w:rsidP="00CF6E37">
            <w:pPr>
              <w:pStyle w:val="Tabletext"/>
              <w:jc w:val="right"/>
              <w:rPr>
                <w:spacing w:val="-3"/>
                <w:highlight w:val="yellow"/>
              </w:rPr>
            </w:pPr>
          </w:p>
        </w:tc>
        <w:tc>
          <w:tcPr>
            <w:tcW w:w="872" w:type="dxa"/>
            <w:tcBorders>
              <w:top w:val="nil"/>
              <w:left w:val="nil"/>
              <w:right w:val="nil"/>
            </w:tcBorders>
            <w:shd w:val="clear" w:color="auto" w:fill="EAF4F5"/>
            <w:vAlign w:val="bottom"/>
          </w:tcPr>
          <w:p w14:paraId="7EF10748" w14:textId="6E8FF0A9" w:rsidR="001D1EE4" w:rsidRPr="00B4308B" w:rsidRDefault="007751BB" w:rsidP="007751BB">
            <w:pPr>
              <w:pStyle w:val="Tabletext"/>
              <w:jc w:val="right"/>
              <w:rPr>
                <w:b/>
                <w:spacing w:val="-3"/>
              </w:rPr>
            </w:pPr>
            <w:r>
              <w:rPr>
                <w:b/>
                <w:spacing w:val="-3"/>
              </w:rPr>
              <w:t>7</w:t>
            </w:r>
            <w:r w:rsidR="001D1EE4">
              <w:rPr>
                <w:b/>
                <w:spacing w:val="-3"/>
              </w:rPr>
              <w:t>.</w:t>
            </w:r>
            <w:r>
              <w:rPr>
                <w:b/>
                <w:spacing w:val="-3"/>
              </w:rPr>
              <w:t>1</w:t>
            </w:r>
          </w:p>
        </w:tc>
        <w:tc>
          <w:tcPr>
            <w:tcW w:w="930" w:type="dxa"/>
            <w:tcBorders>
              <w:top w:val="nil"/>
              <w:left w:val="nil"/>
              <w:right w:val="nil"/>
            </w:tcBorders>
            <w:shd w:val="clear" w:color="auto" w:fill="auto"/>
            <w:vAlign w:val="bottom"/>
          </w:tcPr>
          <w:p w14:paraId="7FB1623E" w14:textId="77777777" w:rsidR="001D1EE4" w:rsidRPr="00191CEC" w:rsidRDefault="001D1EE4" w:rsidP="00CF6E37">
            <w:pPr>
              <w:pStyle w:val="Tabletext"/>
              <w:jc w:val="right"/>
              <w:rPr>
                <w:b/>
                <w:bCs/>
                <w:highlight w:val="yellow"/>
              </w:rPr>
            </w:pPr>
          </w:p>
        </w:tc>
      </w:tr>
      <w:tr w:rsidR="001D1EE4" w:rsidRPr="009F2075" w14:paraId="79719716" w14:textId="77777777" w:rsidTr="00CF6E37">
        <w:tc>
          <w:tcPr>
            <w:tcW w:w="2273" w:type="dxa"/>
            <w:tcBorders>
              <w:left w:val="nil"/>
              <w:bottom w:val="single" w:sz="4" w:space="0" w:color="93B7BB"/>
              <w:right w:val="nil"/>
            </w:tcBorders>
          </w:tcPr>
          <w:p w14:paraId="170B8340" w14:textId="11886C4F" w:rsidR="001D1EE4" w:rsidRPr="00B2361E" w:rsidRDefault="001D1EE4" w:rsidP="001D1EE4">
            <w:pPr>
              <w:pStyle w:val="Tabletext"/>
            </w:pPr>
            <w:r w:rsidRPr="001D200E">
              <w:rPr>
                <w:spacing w:val="-3"/>
              </w:rPr>
              <w:t xml:space="preserve">Total </w:t>
            </w:r>
            <w:r>
              <w:rPr>
                <w:spacing w:val="-3"/>
              </w:rPr>
              <w:t xml:space="preserve">NHS </w:t>
            </w:r>
            <w:r w:rsidRPr="001D200E">
              <w:rPr>
                <w:spacing w:val="-3"/>
              </w:rPr>
              <w:t>revenue</w:t>
            </w:r>
          </w:p>
        </w:tc>
        <w:tc>
          <w:tcPr>
            <w:tcW w:w="2119" w:type="dxa"/>
            <w:tcBorders>
              <w:left w:val="nil"/>
              <w:bottom w:val="single" w:sz="4" w:space="0" w:color="93B7BB"/>
              <w:right w:val="nil"/>
            </w:tcBorders>
            <w:vAlign w:val="bottom"/>
          </w:tcPr>
          <w:p w14:paraId="2FB6F309" w14:textId="6910B4EC" w:rsidR="001D1EE4" w:rsidRPr="00B2361E" w:rsidRDefault="007751BB" w:rsidP="007751BB">
            <w:pPr>
              <w:pStyle w:val="Tabletext"/>
              <w:jc w:val="right"/>
            </w:pPr>
            <w:r>
              <w:rPr>
                <w:spacing w:val="-3"/>
              </w:rPr>
              <w:t>2</w:t>
            </w:r>
            <w:r w:rsidR="001D1EE4">
              <w:rPr>
                <w:spacing w:val="-3"/>
              </w:rPr>
              <w:t>4</w:t>
            </w:r>
            <w:r>
              <w:rPr>
                <w:spacing w:val="-3"/>
              </w:rPr>
              <w:t>5</w:t>
            </w:r>
            <w:r w:rsidR="001D1EE4" w:rsidRPr="001D200E">
              <w:rPr>
                <w:spacing w:val="-3"/>
              </w:rPr>
              <w:t>.</w:t>
            </w:r>
            <w:r>
              <w:rPr>
                <w:spacing w:val="-3"/>
              </w:rPr>
              <w:t>9</w:t>
            </w:r>
          </w:p>
        </w:tc>
        <w:tc>
          <w:tcPr>
            <w:tcW w:w="929" w:type="dxa"/>
            <w:tcBorders>
              <w:left w:val="nil"/>
              <w:bottom w:val="single" w:sz="4" w:space="0" w:color="93B7BB"/>
              <w:right w:val="nil"/>
            </w:tcBorders>
            <w:vAlign w:val="bottom"/>
          </w:tcPr>
          <w:p w14:paraId="1896705F" w14:textId="77777777" w:rsidR="001D1EE4" w:rsidRPr="00B2361E" w:rsidRDefault="001D1EE4" w:rsidP="00CF6E37">
            <w:pPr>
              <w:pStyle w:val="Tabletext"/>
              <w:jc w:val="right"/>
            </w:pPr>
          </w:p>
        </w:tc>
        <w:tc>
          <w:tcPr>
            <w:tcW w:w="1039" w:type="dxa"/>
            <w:tcBorders>
              <w:left w:val="nil"/>
              <w:bottom w:val="single" w:sz="4" w:space="0" w:color="93B7BB"/>
              <w:right w:val="nil"/>
            </w:tcBorders>
            <w:vAlign w:val="bottom"/>
          </w:tcPr>
          <w:p w14:paraId="5E61A6A8" w14:textId="77777777" w:rsidR="001D1EE4" w:rsidRPr="00B2361E" w:rsidRDefault="001D1EE4" w:rsidP="00CF6E37">
            <w:pPr>
              <w:pStyle w:val="Tabletext"/>
              <w:jc w:val="right"/>
            </w:pPr>
          </w:p>
        </w:tc>
        <w:tc>
          <w:tcPr>
            <w:tcW w:w="910" w:type="dxa"/>
            <w:tcBorders>
              <w:left w:val="nil"/>
              <w:bottom w:val="single" w:sz="4" w:space="0" w:color="93B7BB"/>
              <w:right w:val="nil"/>
            </w:tcBorders>
            <w:vAlign w:val="bottom"/>
          </w:tcPr>
          <w:p w14:paraId="63435312" w14:textId="77777777" w:rsidR="001D1EE4" w:rsidRPr="00B2361E" w:rsidRDefault="001D1EE4" w:rsidP="00CF6E37">
            <w:pPr>
              <w:pStyle w:val="Tabletext"/>
              <w:jc w:val="right"/>
            </w:pPr>
          </w:p>
        </w:tc>
        <w:tc>
          <w:tcPr>
            <w:tcW w:w="872" w:type="dxa"/>
            <w:tcBorders>
              <w:left w:val="nil"/>
              <w:bottom w:val="single" w:sz="4" w:space="0" w:color="93B7BB"/>
              <w:right w:val="nil"/>
            </w:tcBorders>
            <w:shd w:val="clear" w:color="auto" w:fill="EAF4F5"/>
            <w:vAlign w:val="bottom"/>
          </w:tcPr>
          <w:p w14:paraId="28D6C3CA" w14:textId="4DE6352C" w:rsidR="001D1EE4" w:rsidRPr="00B4308B" w:rsidRDefault="007751BB" w:rsidP="007751BB">
            <w:pPr>
              <w:pStyle w:val="Tabletext"/>
              <w:jc w:val="right"/>
              <w:rPr>
                <w:b/>
              </w:rPr>
            </w:pPr>
            <w:r>
              <w:rPr>
                <w:b/>
                <w:spacing w:val="-3"/>
              </w:rPr>
              <w:t>262</w:t>
            </w:r>
            <w:r w:rsidR="001D1EE4">
              <w:rPr>
                <w:b/>
                <w:spacing w:val="-3"/>
              </w:rPr>
              <w:t>.</w:t>
            </w:r>
            <w:r>
              <w:rPr>
                <w:b/>
                <w:spacing w:val="-3"/>
              </w:rPr>
              <w:t>0</w:t>
            </w:r>
          </w:p>
        </w:tc>
        <w:tc>
          <w:tcPr>
            <w:tcW w:w="930" w:type="dxa"/>
            <w:tcBorders>
              <w:left w:val="nil"/>
              <w:bottom w:val="single" w:sz="4" w:space="0" w:color="93B7BB"/>
              <w:right w:val="nil"/>
            </w:tcBorders>
            <w:shd w:val="clear" w:color="auto" w:fill="auto"/>
            <w:vAlign w:val="bottom"/>
          </w:tcPr>
          <w:p w14:paraId="5221E596" w14:textId="7478EF1A" w:rsidR="001D1EE4" w:rsidRPr="00B2361E" w:rsidRDefault="001D1EE4" w:rsidP="00CF6E37">
            <w:pPr>
              <w:pStyle w:val="Tabletext"/>
              <w:jc w:val="right"/>
              <w:rPr>
                <w:b/>
                <w:bCs/>
              </w:rPr>
            </w:pPr>
            <w:r>
              <w:rPr>
                <w:b/>
                <w:bCs/>
                <w:spacing w:val="-1"/>
              </w:rPr>
              <w:t>6</w:t>
            </w:r>
            <w:r w:rsidR="007751BB">
              <w:rPr>
                <w:b/>
                <w:bCs/>
                <w:spacing w:val="-1"/>
              </w:rPr>
              <w:t>.5</w:t>
            </w:r>
            <w:r w:rsidRPr="00B2361E">
              <w:rPr>
                <w:b/>
                <w:bCs/>
                <w:spacing w:val="-1"/>
              </w:rPr>
              <w:t>%</w:t>
            </w:r>
          </w:p>
        </w:tc>
      </w:tr>
    </w:tbl>
    <w:p w14:paraId="35DBCACC" w14:textId="77777777" w:rsidR="001D1EE4" w:rsidRDefault="001D1EE4" w:rsidP="008F5418">
      <w:pPr>
        <w:pStyle w:val="Footnote"/>
      </w:pPr>
    </w:p>
    <w:p w14:paraId="0DB6AEAE" w14:textId="1146B824" w:rsidR="008F5418" w:rsidRPr="009F2075" w:rsidRDefault="007751BB" w:rsidP="00BB16FC">
      <w:pPr>
        <w:jc w:val="both"/>
      </w:pPr>
      <w:r>
        <w:t>NHS revenue for the year ended 31 December 2015 increased by £16.1 million, or 6.5%, to £262.0 million (2014: £245.9 million). Underlying growth, excluding revenue relating to Spire St Sa</w:t>
      </w:r>
      <w:r w:rsidR="00510467">
        <w:t>viour’s and Spire St Anthony’s h</w:t>
      </w:r>
      <w:r>
        <w:t>ospitals, was 6.7</w:t>
      </w:r>
      <w:r w:rsidR="00BB16FC" w:rsidRPr="009F2075">
        <w:t>%</w:t>
      </w:r>
      <w:r w:rsidR="008F5418" w:rsidRPr="009F2075">
        <w:t>.</w:t>
      </w:r>
    </w:p>
    <w:p w14:paraId="34580348" w14:textId="273C8C63" w:rsidR="008F5418" w:rsidRPr="009F2075" w:rsidRDefault="008F5418" w:rsidP="00BB16FC">
      <w:pPr>
        <w:jc w:val="both"/>
      </w:pPr>
      <w:r w:rsidRPr="009F2075">
        <w:t xml:space="preserve">Of the underlying growth </w:t>
      </w:r>
      <w:r w:rsidR="0029787C" w:rsidRPr="009F2075">
        <w:t xml:space="preserve">in NHS revenue </w:t>
      </w:r>
      <w:r w:rsidRPr="009F2075">
        <w:t xml:space="preserve">of </w:t>
      </w:r>
      <w:r w:rsidR="007751BB">
        <w:t>6.7</w:t>
      </w:r>
      <w:r w:rsidR="00BB16FC" w:rsidRPr="009F2075">
        <w:t>%</w:t>
      </w:r>
      <w:r w:rsidRPr="009F2075">
        <w:t>:</w:t>
      </w:r>
    </w:p>
    <w:p w14:paraId="2E62BBDC" w14:textId="0E5F1ECF" w:rsidR="007751BB" w:rsidRDefault="00E44D8A" w:rsidP="00562DCC">
      <w:pPr>
        <w:pStyle w:val="Bullet1"/>
        <w:jc w:val="both"/>
      </w:pPr>
      <w:r>
        <w:t>t</w:t>
      </w:r>
      <w:r w:rsidRPr="00F14DA7">
        <w:t>he underlying</w:t>
      </w:r>
      <w:r>
        <w:t xml:space="preserve"> increase in NHS </w:t>
      </w:r>
      <w:r w:rsidR="00331822">
        <w:t xml:space="preserve">e-Referral </w:t>
      </w:r>
      <w:r w:rsidR="004518D8">
        <w:t xml:space="preserve">Service </w:t>
      </w:r>
      <w:r>
        <w:t xml:space="preserve">revenue </w:t>
      </w:r>
      <w:r w:rsidR="00CF6E37">
        <w:t>w</w:t>
      </w:r>
      <w:r>
        <w:t>as 12.5</w:t>
      </w:r>
      <w:r w:rsidRPr="0093549E">
        <w:t>%</w:t>
      </w:r>
      <w:r>
        <w:t xml:space="preserve"> in the year</w:t>
      </w:r>
      <w:r w:rsidR="007751BB">
        <w:t>;</w:t>
      </w:r>
    </w:p>
    <w:p w14:paraId="19A88A33" w14:textId="722D92FC" w:rsidR="007751BB" w:rsidRDefault="00E44D8A" w:rsidP="00562DCC">
      <w:pPr>
        <w:pStyle w:val="Bullet1"/>
        <w:jc w:val="both"/>
      </w:pPr>
      <w:proofErr w:type="gramStart"/>
      <w:r>
        <w:t>t</w:t>
      </w:r>
      <w:r w:rsidRPr="00F14DA7">
        <w:t>he</w:t>
      </w:r>
      <w:proofErr w:type="gramEnd"/>
      <w:r w:rsidRPr="00F14DA7">
        <w:t xml:space="preserve"> underlying</w:t>
      </w:r>
      <w:r>
        <w:t xml:space="preserve"> decline in </w:t>
      </w:r>
      <w:r w:rsidR="00331822">
        <w:t>non-</w:t>
      </w:r>
      <w:r>
        <w:t xml:space="preserve">NHS </w:t>
      </w:r>
      <w:r w:rsidR="00331822">
        <w:t xml:space="preserve">e-Referral </w:t>
      </w:r>
      <w:r w:rsidR="004518D8">
        <w:t xml:space="preserve">Service </w:t>
      </w:r>
      <w:r>
        <w:t xml:space="preserve">revenue was </w:t>
      </w:r>
      <w:r w:rsidRPr="0093549E">
        <w:t>10.0%</w:t>
      </w:r>
      <w:r>
        <w:t xml:space="preserve"> in the year. The Group has been impacted by a significant and abrupt curtailment of outsourcing work from NHS Trusts in the second half of 2015 as a direct response to directives designed to address NHS funding deficits</w:t>
      </w:r>
      <w:r w:rsidR="007751BB">
        <w:t>;</w:t>
      </w:r>
    </w:p>
    <w:p w14:paraId="017A95BC" w14:textId="58E27C84" w:rsidR="007751BB" w:rsidRDefault="00E44D8A" w:rsidP="00562DCC">
      <w:pPr>
        <w:pStyle w:val="Bullet1"/>
        <w:jc w:val="both"/>
      </w:pPr>
      <w:proofErr w:type="gramStart"/>
      <w:r>
        <w:t>overall</w:t>
      </w:r>
      <w:proofErr w:type="gramEnd"/>
      <w:r>
        <w:t xml:space="preserve"> the Group reported a net increase of </w:t>
      </w:r>
      <w:r w:rsidRPr="00202A87">
        <w:t>5.7%</w:t>
      </w:r>
      <w:r>
        <w:t xml:space="preserve"> in the volume of in-patient and daycase admissions. This accounted for a </w:t>
      </w:r>
      <w:r w:rsidRPr="00CB3927">
        <w:t>4.7%</w:t>
      </w:r>
      <w:r>
        <w:t xml:space="preserve"> increase in NHS revenue in the year</w:t>
      </w:r>
      <w:r w:rsidR="007751BB">
        <w:t>;</w:t>
      </w:r>
    </w:p>
    <w:p w14:paraId="13B8FD3C" w14:textId="596CB8B1" w:rsidR="00BB16FC" w:rsidRDefault="008207E8" w:rsidP="00562DCC">
      <w:pPr>
        <w:pStyle w:val="Bullet1"/>
        <w:jc w:val="both"/>
      </w:pPr>
      <w:proofErr w:type="gramStart"/>
      <w:r>
        <w:t>the</w:t>
      </w:r>
      <w:proofErr w:type="gramEnd"/>
      <w:r>
        <w:t xml:space="preserve"> Group reported a decline in rate for in-patient and daycase (average revenue per case) </w:t>
      </w:r>
      <w:r w:rsidRPr="00CB3927">
        <w:t xml:space="preserve">equivalent to a 0.5% </w:t>
      </w:r>
      <w:r>
        <w:t>decline</w:t>
      </w:r>
      <w:r w:rsidRPr="00CB3927">
        <w:t xml:space="preserve"> </w:t>
      </w:r>
      <w:r w:rsidR="00205189">
        <w:t>in NHS revenue</w:t>
      </w:r>
      <w:r>
        <w:t>. Although case mix complexity increased in the year, this was mitigated by an overall effective reduction in NHS tariff</w:t>
      </w:r>
      <w:r w:rsidR="004518D8">
        <w:t>s</w:t>
      </w:r>
      <w:r>
        <w:t xml:space="preserve"> of approximately </w:t>
      </w:r>
      <w:r w:rsidRPr="00CB3927">
        <w:t>2.0%</w:t>
      </w:r>
      <w:r>
        <w:t xml:space="preserve"> for the year</w:t>
      </w:r>
      <w:r w:rsidR="00BB16FC">
        <w:t>; and</w:t>
      </w:r>
    </w:p>
    <w:p w14:paraId="3AD7A2B4" w14:textId="3C793B4B" w:rsidR="00BB16FC" w:rsidRPr="00B2361E" w:rsidRDefault="008207E8" w:rsidP="00562DCC">
      <w:pPr>
        <w:pStyle w:val="Bullet1"/>
        <w:jc w:val="both"/>
      </w:pPr>
      <w:proofErr w:type="gramStart"/>
      <w:r>
        <w:t>out</w:t>
      </w:r>
      <w:r w:rsidR="00D303B1">
        <w:t>-</w:t>
      </w:r>
      <w:r>
        <w:t>patient</w:t>
      </w:r>
      <w:proofErr w:type="gramEnd"/>
      <w:r>
        <w:t xml:space="preserve"> activities increased with the volume of NHS admissions accounting for an </w:t>
      </w:r>
      <w:r w:rsidR="00205189">
        <w:t>overall increase in NHS revenue</w:t>
      </w:r>
      <w:r>
        <w:t xml:space="preserve"> of 2.6% over 2015</w:t>
      </w:r>
      <w:r w:rsidR="00BB16FC">
        <w:t>.</w:t>
      </w:r>
    </w:p>
    <w:p w14:paraId="255F0822" w14:textId="77777777" w:rsidR="008207E8" w:rsidRDefault="008207E8">
      <w:pPr>
        <w:spacing w:after="160" w:line="259" w:lineRule="auto"/>
        <w:rPr>
          <w:rFonts w:asciiTheme="majorHAnsi" w:eastAsiaTheme="majorEastAsia" w:hAnsiTheme="majorHAnsi" w:cstheme="majorBidi"/>
          <w:b/>
          <w:iCs/>
        </w:rPr>
      </w:pPr>
      <w:r>
        <w:br w:type="page"/>
      </w:r>
    </w:p>
    <w:p w14:paraId="432923B6" w14:textId="308CD1F2" w:rsidR="008F5418" w:rsidRPr="009F2075" w:rsidRDefault="008F5418" w:rsidP="003032A7">
      <w:pPr>
        <w:pStyle w:val="Heading4"/>
      </w:pPr>
      <w:r w:rsidRPr="009F2075">
        <w:lastRenderedPageBreak/>
        <w:t>SELF-PAY</w:t>
      </w:r>
    </w:p>
    <w:tbl>
      <w:tblPr>
        <w:tblW w:w="9072" w:type="dxa"/>
        <w:tblLayout w:type="fixed"/>
        <w:tblCellMar>
          <w:left w:w="0" w:type="dxa"/>
          <w:right w:w="57" w:type="dxa"/>
        </w:tblCellMar>
        <w:tblLook w:val="0000" w:firstRow="0" w:lastRow="0" w:firstColumn="0" w:lastColumn="0" w:noHBand="0" w:noVBand="0"/>
      </w:tblPr>
      <w:tblGrid>
        <w:gridCol w:w="2273"/>
        <w:gridCol w:w="2119"/>
        <w:gridCol w:w="929"/>
        <w:gridCol w:w="1039"/>
        <w:gridCol w:w="910"/>
        <w:gridCol w:w="872"/>
        <w:gridCol w:w="930"/>
      </w:tblGrid>
      <w:tr w:rsidR="008207E8" w:rsidRPr="008F5418" w14:paraId="257FECD5" w14:textId="77777777" w:rsidTr="00CF6E37">
        <w:tc>
          <w:tcPr>
            <w:tcW w:w="4392" w:type="dxa"/>
            <w:gridSpan w:val="2"/>
            <w:tcBorders>
              <w:top w:val="nil"/>
              <w:left w:val="nil"/>
              <w:bottom w:val="nil"/>
              <w:right w:val="nil"/>
            </w:tcBorders>
            <w:vAlign w:val="bottom"/>
          </w:tcPr>
          <w:p w14:paraId="6BA6301C" w14:textId="77777777" w:rsidR="008207E8" w:rsidRPr="008F5418" w:rsidRDefault="008207E8" w:rsidP="00CF6E37">
            <w:pPr>
              <w:pStyle w:val="Tableheading"/>
              <w:jc w:val="right"/>
            </w:pPr>
          </w:p>
        </w:tc>
        <w:tc>
          <w:tcPr>
            <w:tcW w:w="929" w:type="dxa"/>
            <w:tcBorders>
              <w:top w:val="nil"/>
              <w:left w:val="nil"/>
              <w:right w:val="nil"/>
            </w:tcBorders>
            <w:vAlign w:val="bottom"/>
          </w:tcPr>
          <w:p w14:paraId="6190890C" w14:textId="77777777" w:rsidR="008207E8" w:rsidRPr="008F5418" w:rsidRDefault="008207E8" w:rsidP="00CF6E37">
            <w:pPr>
              <w:pStyle w:val="Tableheading"/>
              <w:jc w:val="right"/>
            </w:pPr>
            <w:r w:rsidRPr="008F5418">
              <w:t>In-patient/</w:t>
            </w:r>
            <w:r>
              <w:br/>
            </w:r>
            <w:r w:rsidRPr="008F5418">
              <w:t>daycase</w:t>
            </w:r>
          </w:p>
        </w:tc>
        <w:tc>
          <w:tcPr>
            <w:tcW w:w="1039" w:type="dxa"/>
            <w:tcBorders>
              <w:top w:val="nil"/>
              <w:left w:val="nil"/>
              <w:right w:val="nil"/>
            </w:tcBorders>
            <w:vAlign w:val="bottom"/>
          </w:tcPr>
          <w:p w14:paraId="00E67A57" w14:textId="77777777" w:rsidR="008207E8" w:rsidRPr="008F5418" w:rsidRDefault="008207E8" w:rsidP="00CF6E37">
            <w:pPr>
              <w:pStyle w:val="Tableheading"/>
              <w:jc w:val="right"/>
            </w:pPr>
            <w:r w:rsidRPr="008F5418">
              <w:t>In-patient/</w:t>
            </w:r>
            <w:r>
              <w:br/>
            </w:r>
            <w:r w:rsidRPr="008F5418">
              <w:t>daycase</w:t>
            </w:r>
          </w:p>
        </w:tc>
        <w:tc>
          <w:tcPr>
            <w:tcW w:w="2712" w:type="dxa"/>
            <w:gridSpan w:val="3"/>
            <w:tcBorders>
              <w:top w:val="nil"/>
              <w:left w:val="nil"/>
              <w:bottom w:val="nil"/>
              <w:right w:val="nil"/>
            </w:tcBorders>
            <w:vAlign w:val="bottom"/>
          </w:tcPr>
          <w:p w14:paraId="24EFFB14" w14:textId="77777777" w:rsidR="008207E8" w:rsidRPr="008F5418" w:rsidRDefault="008207E8" w:rsidP="00CF6E37">
            <w:pPr>
              <w:pStyle w:val="Tableheading"/>
              <w:jc w:val="right"/>
            </w:pPr>
          </w:p>
        </w:tc>
      </w:tr>
      <w:tr w:rsidR="008207E8" w:rsidRPr="008F5418" w14:paraId="66188858" w14:textId="77777777" w:rsidTr="00CF6E37">
        <w:tc>
          <w:tcPr>
            <w:tcW w:w="2273" w:type="dxa"/>
            <w:tcBorders>
              <w:top w:val="nil"/>
              <w:left w:val="nil"/>
              <w:bottom w:val="single" w:sz="4" w:space="0" w:color="93B7BB"/>
              <w:right w:val="nil"/>
            </w:tcBorders>
          </w:tcPr>
          <w:p w14:paraId="37AD800F" w14:textId="77777777" w:rsidR="008207E8" w:rsidRPr="0005191D" w:rsidRDefault="008207E8" w:rsidP="00CF6E37">
            <w:pPr>
              <w:pStyle w:val="Tableheading"/>
              <w:rPr>
                <w:b/>
                <w:bCs/>
              </w:rPr>
            </w:pPr>
            <w:r w:rsidRPr="0005191D">
              <w:rPr>
                <w:b/>
                <w:bCs/>
              </w:rPr>
              <w:t>(£ million)</w:t>
            </w:r>
          </w:p>
        </w:tc>
        <w:tc>
          <w:tcPr>
            <w:tcW w:w="2119" w:type="dxa"/>
            <w:tcBorders>
              <w:top w:val="nil"/>
              <w:left w:val="nil"/>
              <w:bottom w:val="single" w:sz="4" w:space="0" w:color="93B7BB"/>
              <w:right w:val="nil"/>
            </w:tcBorders>
            <w:vAlign w:val="bottom"/>
          </w:tcPr>
          <w:p w14:paraId="16168506" w14:textId="77777777" w:rsidR="008207E8" w:rsidRPr="008F5418" w:rsidRDefault="008207E8" w:rsidP="00CF6E37">
            <w:pPr>
              <w:pStyle w:val="Tableheading"/>
              <w:jc w:val="right"/>
            </w:pPr>
            <w:r w:rsidRPr="008F5418">
              <w:t>201</w:t>
            </w:r>
            <w:r>
              <w:t>4</w:t>
            </w:r>
          </w:p>
        </w:tc>
        <w:tc>
          <w:tcPr>
            <w:tcW w:w="929" w:type="dxa"/>
            <w:tcBorders>
              <w:top w:val="nil"/>
              <w:left w:val="nil"/>
              <w:bottom w:val="single" w:sz="4" w:space="0" w:color="93B7BB"/>
              <w:right w:val="nil"/>
            </w:tcBorders>
            <w:vAlign w:val="bottom"/>
          </w:tcPr>
          <w:p w14:paraId="78F9F092" w14:textId="77777777" w:rsidR="008207E8" w:rsidRPr="008F5418" w:rsidRDefault="008207E8" w:rsidP="00CF6E37">
            <w:pPr>
              <w:pStyle w:val="Tableheading"/>
              <w:jc w:val="right"/>
            </w:pPr>
            <w:r>
              <w:t>v</w:t>
            </w:r>
            <w:r w:rsidRPr="008F5418">
              <w:t>olume</w:t>
            </w:r>
          </w:p>
        </w:tc>
        <w:tc>
          <w:tcPr>
            <w:tcW w:w="1039" w:type="dxa"/>
            <w:tcBorders>
              <w:top w:val="nil"/>
              <w:left w:val="nil"/>
              <w:bottom w:val="single" w:sz="4" w:space="0" w:color="93B7BB"/>
              <w:right w:val="nil"/>
            </w:tcBorders>
            <w:vAlign w:val="bottom"/>
          </w:tcPr>
          <w:p w14:paraId="278F167D" w14:textId="77777777" w:rsidR="008207E8" w:rsidRPr="008F5418" w:rsidRDefault="008207E8" w:rsidP="00CF6E37">
            <w:pPr>
              <w:pStyle w:val="Tableheading"/>
              <w:jc w:val="right"/>
            </w:pPr>
            <w:r>
              <w:t>rate</w:t>
            </w:r>
          </w:p>
        </w:tc>
        <w:tc>
          <w:tcPr>
            <w:tcW w:w="910" w:type="dxa"/>
            <w:tcBorders>
              <w:top w:val="nil"/>
              <w:left w:val="nil"/>
              <w:bottom w:val="single" w:sz="4" w:space="0" w:color="93B7BB"/>
              <w:right w:val="nil"/>
            </w:tcBorders>
            <w:vAlign w:val="bottom"/>
          </w:tcPr>
          <w:p w14:paraId="375E8038" w14:textId="77777777" w:rsidR="008207E8" w:rsidRPr="008F5418" w:rsidRDefault="008207E8" w:rsidP="00CF6E37">
            <w:pPr>
              <w:pStyle w:val="Tableheading"/>
              <w:jc w:val="right"/>
            </w:pPr>
            <w:r w:rsidRPr="008F5418">
              <w:t>Out-patient</w:t>
            </w:r>
          </w:p>
        </w:tc>
        <w:tc>
          <w:tcPr>
            <w:tcW w:w="872" w:type="dxa"/>
            <w:tcBorders>
              <w:top w:val="nil"/>
              <w:left w:val="nil"/>
              <w:bottom w:val="single" w:sz="4" w:space="0" w:color="93B7BB"/>
              <w:right w:val="nil"/>
            </w:tcBorders>
            <w:vAlign w:val="bottom"/>
          </w:tcPr>
          <w:p w14:paraId="3F69B0C5" w14:textId="77777777" w:rsidR="008207E8" w:rsidRPr="008F5418" w:rsidRDefault="008207E8" w:rsidP="00CF6E37">
            <w:pPr>
              <w:pStyle w:val="Tableheading"/>
              <w:jc w:val="right"/>
            </w:pPr>
            <w:r w:rsidRPr="008F5418">
              <w:rPr>
                <w:b/>
                <w:bCs/>
              </w:rPr>
              <w:t>201</w:t>
            </w:r>
            <w:r>
              <w:rPr>
                <w:b/>
                <w:bCs/>
              </w:rPr>
              <w:t>5</w:t>
            </w:r>
          </w:p>
        </w:tc>
        <w:tc>
          <w:tcPr>
            <w:tcW w:w="930" w:type="dxa"/>
            <w:tcBorders>
              <w:top w:val="nil"/>
              <w:left w:val="nil"/>
              <w:bottom w:val="single" w:sz="4" w:space="0" w:color="93B7BB"/>
              <w:right w:val="nil"/>
            </w:tcBorders>
            <w:vAlign w:val="bottom"/>
          </w:tcPr>
          <w:p w14:paraId="54AF59E5" w14:textId="77777777" w:rsidR="008207E8" w:rsidRPr="008F5418" w:rsidRDefault="008207E8" w:rsidP="00CF6E37">
            <w:pPr>
              <w:pStyle w:val="Tableheading"/>
              <w:jc w:val="right"/>
              <w:rPr>
                <w:b/>
                <w:bCs/>
              </w:rPr>
            </w:pPr>
            <w:r>
              <w:rPr>
                <w:b/>
                <w:bCs/>
              </w:rPr>
              <w:t>Growth</w:t>
            </w:r>
          </w:p>
        </w:tc>
      </w:tr>
      <w:tr w:rsidR="008207E8" w:rsidRPr="009F2075" w14:paraId="48D016E8" w14:textId="77777777" w:rsidTr="00CF6E37">
        <w:tc>
          <w:tcPr>
            <w:tcW w:w="2273" w:type="dxa"/>
            <w:tcBorders>
              <w:top w:val="single" w:sz="4" w:space="0" w:color="93B7BB"/>
              <w:left w:val="nil"/>
              <w:right w:val="nil"/>
            </w:tcBorders>
          </w:tcPr>
          <w:p w14:paraId="56339639" w14:textId="692F1CF9" w:rsidR="008207E8" w:rsidRPr="00B2361E" w:rsidRDefault="008207E8" w:rsidP="008207E8">
            <w:pPr>
              <w:pStyle w:val="Tabletext"/>
            </w:pPr>
            <w:r>
              <w:rPr>
                <w:spacing w:val="-3"/>
              </w:rPr>
              <w:t xml:space="preserve">Underlying Self-pay </w:t>
            </w:r>
            <w:r w:rsidRPr="00B2361E">
              <w:t>reve</w:t>
            </w:r>
            <w:r w:rsidRPr="00B2361E">
              <w:rPr>
                <w:spacing w:val="-4"/>
              </w:rPr>
              <w:t>nu</w:t>
            </w:r>
            <w:r w:rsidRPr="00B2361E">
              <w:t>e</w:t>
            </w:r>
          </w:p>
        </w:tc>
        <w:tc>
          <w:tcPr>
            <w:tcW w:w="2119" w:type="dxa"/>
            <w:tcBorders>
              <w:top w:val="single" w:sz="4" w:space="0" w:color="93B7BB"/>
              <w:left w:val="nil"/>
              <w:right w:val="nil"/>
            </w:tcBorders>
            <w:vAlign w:val="bottom"/>
          </w:tcPr>
          <w:p w14:paraId="1416E506" w14:textId="28F720CD" w:rsidR="008207E8" w:rsidRPr="00B2361E" w:rsidRDefault="008207E8" w:rsidP="008207E8">
            <w:pPr>
              <w:pStyle w:val="Tabletext"/>
              <w:jc w:val="right"/>
            </w:pPr>
            <w:r>
              <w:rPr>
                <w:spacing w:val="-3"/>
              </w:rPr>
              <w:t>140.1</w:t>
            </w:r>
          </w:p>
        </w:tc>
        <w:tc>
          <w:tcPr>
            <w:tcW w:w="929" w:type="dxa"/>
            <w:tcBorders>
              <w:top w:val="single" w:sz="4" w:space="0" w:color="93B7BB"/>
              <w:left w:val="nil"/>
              <w:right w:val="nil"/>
            </w:tcBorders>
            <w:vAlign w:val="bottom"/>
          </w:tcPr>
          <w:p w14:paraId="4D5CC243" w14:textId="78092E25" w:rsidR="008207E8" w:rsidRPr="00B2361E" w:rsidRDefault="008207E8" w:rsidP="00CF6E37">
            <w:pPr>
              <w:pStyle w:val="Tabletext"/>
              <w:jc w:val="right"/>
            </w:pPr>
            <w:r>
              <w:rPr>
                <w:spacing w:val="-3"/>
              </w:rPr>
              <w:t>6</w:t>
            </w:r>
            <w:r w:rsidRPr="001D200E">
              <w:rPr>
                <w:spacing w:val="-3"/>
              </w:rPr>
              <w:t>.</w:t>
            </w:r>
            <w:r>
              <w:rPr>
                <w:spacing w:val="-3"/>
              </w:rPr>
              <w:t>2</w:t>
            </w:r>
          </w:p>
        </w:tc>
        <w:tc>
          <w:tcPr>
            <w:tcW w:w="1039" w:type="dxa"/>
            <w:tcBorders>
              <w:top w:val="single" w:sz="4" w:space="0" w:color="93B7BB"/>
              <w:left w:val="nil"/>
              <w:right w:val="nil"/>
            </w:tcBorders>
            <w:vAlign w:val="bottom"/>
          </w:tcPr>
          <w:p w14:paraId="7A956F2F" w14:textId="2D3374BA" w:rsidR="008207E8" w:rsidRPr="00B2361E" w:rsidRDefault="008207E8" w:rsidP="008207E8">
            <w:pPr>
              <w:pStyle w:val="Tabletext"/>
              <w:jc w:val="right"/>
            </w:pPr>
            <w:r>
              <w:rPr>
                <w:spacing w:val="-3"/>
              </w:rPr>
              <w:t>1.0</w:t>
            </w:r>
          </w:p>
        </w:tc>
        <w:tc>
          <w:tcPr>
            <w:tcW w:w="910" w:type="dxa"/>
            <w:tcBorders>
              <w:top w:val="single" w:sz="4" w:space="0" w:color="93B7BB"/>
              <w:left w:val="nil"/>
              <w:right w:val="nil"/>
            </w:tcBorders>
            <w:vAlign w:val="bottom"/>
          </w:tcPr>
          <w:p w14:paraId="51D75F06" w14:textId="0984C109" w:rsidR="008207E8" w:rsidRPr="00B2361E" w:rsidRDefault="008207E8" w:rsidP="00CF6E37">
            <w:pPr>
              <w:pStyle w:val="Tabletext"/>
              <w:jc w:val="right"/>
            </w:pPr>
            <w:r>
              <w:rPr>
                <w:spacing w:val="-3"/>
              </w:rPr>
              <w:t>2.1</w:t>
            </w:r>
          </w:p>
        </w:tc>
        <w:tc>
          <w:tcPr>
            <w:tcW w:w="872" w:type="dxa"/>
            <w:tcBorders>
              <w:top w:val="single" w:sz="4" w:space="0" w:color="93B7BB"/>
              <w:left w:val="nil"/>
              <w:right w:val="nil"/>
            </w:tcBorders>
            <w:shd w:val="clear" w:color="auto" w:fill="EAF4F5"/>
            <w:vAlign w:val="bottom"/>
          </w:tcPr>
          <w:p w14:paraId="4E655A3F" w14:textId="2FD6D964" w:rsidR="008207E8" w:rsidRPr="00B4308B" w:rsidRDefault="008207E8" w:rsidP="008207E8">
            <w:pPr>
              <w:pStyle w:val="Tabletext"/>
              <w:jc w:val="right"/>
              <w:rPr>
                <w:b/>
              </w:rPr>
            </w:pPr>
            <w:r>
              <w:rPr>
                <w:b/>
                <w:spacing w:val="-3"/>
              </w:rPr>
              <w:t>149</w:t>
            </w:r>
            <w:r w:rsidRPr="00B4308B">
              <w:rPr>
                <w:b/>
                <w:spacing w:val="-3"/>
              </w:rPr>
              <w:t>.</w:t>
            </w:r>
            <w:r>
              <w:rPr>
                <w:b/>
                <w:spacing w:val="-3"/>
              </w:rPr>
              <w:t>4</w:t>
            </w:r>
          </w:p>
        </w:tc>
        <w:tc>
          <w:tcPr>
            <w:tcW w:w="930" w:type="dxa"/>
            <w:tcBorders>
              <w:top w:val="single" w:sz="4" w:space="0" w:color="93B7BB"/>
              <w:left w:val="nil"/>
              <w:right w:val="nil"/>
            </w:tcBorders>
            <w:shd w:val="clear" w:color="auto" w:fill="auto"/>
            <w:vAlign w:val="bottom"/>
          </w:tcPr>
          <w:p w14:paraId="21440066" w14:textId="51D65F43" w:rsidR="008207E8" w:rsidRPr="00B2361E" w:rsidRDefault="008207E8" w:rsidP="00CF6E37">
            <w:pPr>
              <w:pStyle w:val="Tabletext"/>
              <w:jc w:val="right"/>
              <w:rPr>
                <w:b/>
                <w:bCs/>
              </w:rPr>
            </w:pPr>
            <w:r>
              <w:rPr>
                <w:b/>
                <w:bCs/>
                <w:spacing w:val="-3"/>
              </w:rPr>
              <w:t>6</w:t>
            </w:r>
            <w:r w:rsidRPr="00B4308B">
              <w:rPr>
                <w:b/>
                <w:bCs/>
                <w:spacing w:val="-3"/>
              </w:rPr>
              <w:t>.</w:t>
            </w:r>
            <w:r>
              <w:rPr>
                <w:b/>
                <w:bCs/>
                <w:spacing w:val="-3"/>
              </w:rPr>
              <w:t>6</w:t>
            </w:r>
            <w:r w:rsidRPr="00B4308B">
              <w:rPr>
                <w:b/>
                <w:bCs/>
                <w:spacing w:val="-3"/>
              </w:rPr>
              <w:t>%</w:t>
            </w:r>
          </w:p>
        </w:tc>
      </w:tr>
      <w:tr w:rsidR="008207E8" w:rsidRPr="009F2075" w14:paraId="2F9BFB97" w14:textId="77777777" w:rsidTr="00CF6E37">
        <w:tc>
          <w:tcPr>
            <w:tcW w:w="2273" w:type="dxa"/>
            <w:tcBorders>
              <w:top w:val="nil"/>
              <w:left w:val="nil"/>
              <w:right w:val="nil"/>
            </w:tcBorders>
          </w:tcPr>
          <w:p w14:paraId="720B918D" w14:textId="77777777" w:rsidR="008207E8" w:rsidRPr="00B2361E" w:rsidRDefault="008207E8" w:rsidP="00CF6E37">
            <w:pPr>
              <w:pStyle w:val="Tabletext"/>
            </w:pPr>
            <w:r w:rsidRPr="001D200E">
              <w:rPr>
                <w:spacing w:val="-3"/>
              </w:rPr>
              <w:t>Acquisitions/disposals</w:t>
            </w:r>
          </w:p>
        </w:tc>
        <w:tc>
          <w:tcPr>
            <w:tcW w:w="2119" w:type="dxa"/>
            <w:tcBorders>
              <w:top w:val="nil"/>
              <w:left w:val="nil"/>
              <w:right w:val="nil"/>
            </w:tcBorders>
            <w:vAlign w:val="bottom"/>
          </w:tcPr>
          <w:p w14:paraId="40DBD52B" w14:textId="3F88B951" w:rsidR="008207E8" w:rsidRPr="00B2361E" w:rsidRDefault="008207E8" w:rsidP="008207E8">
            <w:pPr>
              <w:pStyle w:val="Tabletext"/>
              <w:jc w:val="right"/>
            </w:pPr>
            <w:r>
              <w:rPr>
                <w:spacing w:val="-3"/>
              </w:rPr>
              <w:t>6.0</w:t>
            </w:r>
          </w:p>
        </w:tc>
        <w:tc>
          <w:tcPr>
            <w:tcW w:w="929" w:type="dxa"/>
            <w:tcBorders>
              <w:top w:val="nil"/>
              <w:left w:val="nil"/>
              <w:right w:val="nil"/>
            </w:tcBorders>
            <w:vAlign w:val="bottom"/>
          </w:tcPr>
          <w:p w14:paraId="4C8DB1B4" w14:textId="77777777" w:rsidR="008207E8" w:rsidRPr="00191CEC" w:rsidRDefault="008207E8" w:rsidP="00CF6E37">
            <w:pPr>
              <w:pStyle w:val="Tabletext"/>
              <w:jc w:val="right"/>
              <w:rPr>
                <w:spacing w:val="-3"/>
                <w:highlight w:val="yellow"/>
              </w:rPr>
            </w:pPr>
          </w:p>
        </w:tc>
        <w:tc>
          <w:tcPr>
            <w:tcW w:w="1039" w:type="dxa"/>
            <w:tcBorders>
              <w:top w:val="nil"/>
              <w:left w:val="nil"/>
              <w:right w:val="nil"/>
            </w:tcBorders>
            <w:vAlign w:val="bottom"/>
          </w:tcPr>
          <w:p w14:paraId="72E7337C" w14:textId="77777777" w:rsidR="008207E8" w:rsidRPr="00191CEC" w:rsidRDefault="008207E8" w:rsidP="00CF6E37">
            <w:pPr>
              <w:pStyle w:val="Tabletext"/>
              <w:jc w:val="right"/>
              <w:rPr>
                <w:spacing w:val="-3"/>
                <w:highlight w:val="yellow"/>
              </w:rPr>
            </w:pPr>
          </w:p>
        </w:tc>
        <w:tc>
          <w:tcPr>
            <w:tcW w:w="910" w:type="dxa"/>
            <w:tcBorders>
              <w:top w:val="nil"/>
              <w:left w:val="nil"/>
              <w:right w:val="nil"/>
            </w:tcBorders>
            <w:vAlign w:val="bottom"/>
          </w:tcPr>
          <w:p w14:paraId="2AAF07DF" w14:textId="77777777" w:rsidR="008207E8" w:rsidRPr="00191CEC" w:rsidRDefault="008207E8" w:rsidP="00CF6E37">
            <w:pPr>
              <w:pStyle w:val="Tabletext"/>
              <w:jc w:val="right"/>
              <w:rPr>
                <w:spacing w:val="-3"/>
                <w:highlight w:val="yellow"/>
              </w:rPr>
            </w:pPr>
          </w:p>
        </w:tc>
        <w:tc>
          <w:tcPr>
            <w:tcW w:w="872" w:type="dxa"/>
            <w:tcBorders>
              <w:top w:val="nil"/>
              <w:left w:val="nil"/>
              <w:right w:val="nil"/>
            </w:tcBorders>
            <w:shd w:val="clear" w:color="auto" w:fill="EAF4F5"/>
            <w:vAlign w:val="bottom"/>
          </w:tcPr>
          <w:p w14:paraId="17CDB82D" w14:textId="3CEC72BD" w:rsidR="008207E8" w:rsidRPr="00B4308B" w:rsidRDefault="008207E8" w:rsidP="008207E8">
            <w:pPr>
              <w:pStyle w:val="Tabletext"/>
              <w:jc w:val="right"/>
              <w:rPr>
                <w:b/>
                <w:spacing w:val="-3"/>
              </w:rPr>
            </w:pPr>
            <w:r>
              <w:rPr>
                <w:b/>
                <w:spacing w:val="-3"/>
              </w:rPr>
              <w:t>6.8</w:t>
            </w:r>
          </w:p>
        </w:tc>
        <w:tc>
          <w:tcPr>
            <w:tcW w:w="930" w:type="dxa"/>
            <w:tcBorders>
              <w:top w:val="nil"/>
              <w:left w:val="nil"/>
              <w:right w:val="nil"/>
            </w:tcBorders>
            <w:shd w:val="clear" w:color="auto" w:fill="auto"/>
            <w:vAlign w:val="bottom"/>
          </w:tcPr>
          <w:p w14:paraId="4A1F58BC" w14:textId="77777777" w:rsidR="008207E8" w:rsidRPr="00191CEC" w:rsidRDefault="008207E8" w:rsidP="00CF6E37">
            <w:pPr>
              <w:pStyle w:val="Tabletext"/>
              <w:jc w:val="right"/>
              <w:rPr>
                <w:b/>
                <w:bCs/>
                <w:highlight w:val="yellow"/>
              </w:rPr>
            </w:pPr>
          </w:p>
        </w:tc>
      </w:tr>
      <w:tr w:rsidR="008207E8" w:rsidRPr="009F2075" w14:paraId="5867A6CF" w14:textId="77777777" w:rsidTr="00CF6E37">
        <w:tc>
          <w:tcPr>
            <w:tcW w:w="2273" w:type="dxa"/>
            <w:tcBorders>
              <w:left w:val="nil"/>
              <w:bottom w:val="single" w:sz="4" w:space="0" w:color="93B7BB"/>
              <w:right w:val="nil"/>
            </w:tcBorders>
          </w:tcPr>
          <w:p w14:paraId="0E0F9ACA" w14:textId="4F7303D5" w:rsidR="008207E8" w:rsidRPr="00B2361E" w:rsidRDefault="008207E8" w:rsidP="008207E8">
            <w:pPr>
              <w:pStyle w:val="Tabletext"/>
            </w:pPr>
            <w:r w:rsidRPr="001D200E">
              <w:rPr>
                <w:spacing w:val="-3"/>
              </w:rPr>
              <w:t xml:space="preserve">Total </w:t>
            </w:r>
            <w:r>
              <w:rPr>
                <w:spacing w:val="-3"/>
              </w:rPr>
              <w:t xml:space="preserve">Self-pay </w:t>
            </w:r>
            <w:r w:rsidRPr="001D200E">
              <w:rPr>
                <w:spacing w:val="-3"/>
              </w:rPr>
              <w:t>revenue</w:t>
            </w:r>
          </w:p>
        </w:tc>
        <w:tc>
          <w:tcPr>
            <w:tcW w:w="2119" w:type="dxa"/>
            <w:tcBorders>
              <w:left w:val="nil"/>
              <w:bottom w:val="single" w:sz="4" w:space="0" w:color="93B7BB"/>
              <w:right w:val="nil"/>
            </w:tcBorders>
            <w:vAlign w:val="bottom"/>
          </w:tcPr>
          <w:p w14:paraId="07B1DD13" w14:textId="402A51D0" w:rsidR="008207E8" w:rsidRPr="00B2361E" w:rsidRDefault="008207E8" w:rsidP="00CF6E37">
            <w:pPr>
              <w:pStyle w:val="Tabletext"/>
              <w:jc w:val="right"/>
            </w:pPr>
            <w:r w:rsidRPr="00B2361E">
              <w:t>1</w:t>
            </w:r>
            <w:r>
              <w:t>46</w:t>
            </w:r>
            <w:r w:rsidRPr="00B2361E">
              <w:rPr>
                <w:spacing w:val="-3"/>
              </w:rPr>
              <w:t>.</w:t>
            </w:r>
            <w:r>
              <w:rPr>
                <w:spacing w:val="-3"/>
              </w:rPr>
              <w:t>1</w:t>
            </w:r>
          </w:p>
        </w:tc>
        <w:tc>
          <w:tcPr>
            <w:tcW w:w="929" w:type="dxa"/>
            <w:tcBorders>
              <w:left w:val="nil"/>
              <w:bottom w:val="single" w:sz="4" w:space="0" w:color="93B7BB"/>
              <w:right w:val="nil"/>
            </w:tcBorders>
            <w:vAlign w:val="bottom"/>
          </w:tcPr>
          <w:p w14:paraId="4D7AE364" w14:textId="77777777" w:rsidR="008207E8" w:rsidRPr="00B2361E" w:rsidRDefault="008207E8" w:rsidP="00CF6E37">
            <w:pPr>
              <w:pStyle w:val="Tabletext"/>
              <w:jc w:val="right"/>
            </w:pPr>
          </w:p>
        </w:tc>
        <w:tc>
          <w:tcPr>
            <w:tcW w:w="1039" w:type="dxa"/>
            <w:tcBorders>
              <w:left w:val="nil"/>
              <w:bottom w:val="single" w:sz="4" w:space="0" w:color="93B7BB"/>
              <w:right w:val="nil"/>
            </w:tcBorders>
            <w:vAlign w:val="bottom"/>
          </w:tcPr>
          <w:p w14:paraId="7E7243B9" w14:textId="77777777" w:rsidR="008207E8" w:rsidRPr="00B2361E" w:rsidRDefault="008207E8" w:rsidP="00CF6E37">
            <w:pPr>
              <w:pStyle w:val="Tabletext"/>
              <w:jc w:val="right"/>
            </w:pPr>
          </w:p>
        </w:tc>
        <w:tc>
          <w:tcPr>
            <w:tcW w:w="910" w:type="dxa"/>
            <w:tcBorders>
              <w:left w:val="nil"/>
              <w:bottom w:val="single" w:sz="4" w:space="0" w:color="93B7BB"/>
              <w:right w:val="nil"/>
            </w:tcBorders>
            <w:vAlign w:val="bottom"/>
          </w:tcPr>
          <w:p w14:paraId="009D0C98" w14:textId="77777777" w:rsidR="008207E8" w:rsidRPr="00B2361E" w:rsidRDefault="008207E8" w:rsidP="00CF6E37">
            <w:pPr>
              <w:pStyle w:val="Tabletext"/>
              <w:jc w:val="right"/>
            </w:pPr>
          </w:p>
        </w:tc>
        <w:tc>
          <w:tcPr>
            <w:tcW w:w="872" w:type="dxa"/>
            <w:tcBorders>
              <w:left w:val="nil"/>
              <w:bottom w:val="single" w:sz="4" w:space="0" w:color="93B7BB"/>
              <w:right w:val="nil"/>
            </w:tcBorders>
            <w:shd w:val="clear" w:color="auto" w:fill="EAF4F5"/>
            <w:vAlign w:val="bottom"/>
          </w:tcPr>
          <w:p w14:paraId="23F8C46A" w14:textId="4AFB403F" w:rsidR="008207E8" w:rsidRPr="00B4308B" w:rsidRDefault="008207E8" w:rsidP="008207E8">
            <w:pPr>
              <w:pStyle w:val="Tabletext"/>
              <w:jc w:val="right"/>
              <w:rPr>
                <w:b/>
              </w:rPr>
            </w:pPr>
            <w:r>
              <w:rPr>
                <w:b/>
                <w:spacing w:val="-3"/>
              </w:rPr>
              <w:t>156.2</w:t>
            </w:r>
          </w:p>
        </w:tc>
        <w:tc>
          <w:tcPr>
            <w:tcW w:w="930" w:type="dxa"/>
            <w:tcBorders>
              <w:left w:val="nil"/>
              <w:bottom w:val="single" w:sz="4" w:space="0" w:color="93B7BB"/>
              <w:right w:val="nil"/>
            </w:tcBorders>
            <w:shd w:val="clear" w:color="auto" w:fill="auto"/>
            <w:vAlign w:val="bottom"/>
          </w:tcPr>
          <w:p w14:paraId="1993DBE5" w14:textId="614F55E2" w:rsidR="008207E8" w:rsidRPr="00B2361E" w:rsidRDefault="008207E8" w:rsidP="008207E8">
            <w:pPr>
              <w:pStyle w:val="Tabletext"/>
              <w:jc w:val="right"/>
              <w:rPr>
                <w:b/>
                <w:bCs/>
              </w:rPr>
            </w:pPr>
            <w:r>
              <w:rPr>
                <w:b/>
                <w:bCs/>
                <w:spacing w:val="-1"/>
              </w:rPr>
              <w:t>6.9</w:t>
            </w:r>
            <w:r w:rsidRPr="00B2361E">
              <w:rPr>
                <w:b/>
                <w:bCs/>
                <w:spacing w:val="-1"/>
              </w:rPr>
              <w:t>%</w:t>
            </w:r>
          </w:p>
        </w:tc>
      </w:tr>
    </w:tbl>
    <w:p w14:paraId="70118848" w14:textId="77777777" w:rsidR="008207E8" w:rsidRPr="00B2361E" w:rsidRDefault="008207E8" w:rsidP="00B2361E">
      <w:pPr>
        <w:pStyle w:val="Footnote"/>
      </w:pPr>
    </w:p>
    <w:p w14:paraId="1A983DA9" w14:textId="7DD89C4A" w:rsidR="00D0507F" w:rsidRDefault="0005191D" w:rsidP="00562DCC">
      <w:pPr>
        <w:jc w:val="both"/>
      </w:pPr>
      <w:r w:rsidRPr="009F2075">
        <w:t>Self-pay revenue for the year ended 31 December 201</w:t>
      </w:r>
      <w:r w:rsidR="00562DCC">
        <w:t>5</w:t>
      </w:r>
      <w:r w:rsidRPr="009F2075">
        <w:t xml:space="preserve"> increased by </w:t>
      </w:r>
      <w:r w:rsidR="000427AA" w:rsidRPr="009F2075">
        <w:t>£</w:t>
      </w:r>
      <w:r w:rsidR="008207E8">
        <w:t>10.1 million, or 6.9%, to £156.2 million (2014: £146.1 million). Underlying growth, excluding revenue from Spire St Saviour’s</w:t>
      </w:r>
      <w:r w:rsidR="0051314A" w:rsidRPr="0051314A">
        <w:t xml:space="preserve"> </w:t>
      </w:r>
      <w:r w:rsidR="0051314A">
        <w:t>Hospital</w:t>
      </w:r>
      <w:r w:rsidR="008207E8">
        <w:t>, Spire St Anthony’s Hospital and the fertility business, was 6.6</w:t>
      </w:r>
      <w:r w:rsidR="00562DCC" w:rsidRPr="009F2075">
        <w:t>%</w:t>
      </w:r>
      <w:r w:rsidRPr="009F2075">
        <w:t>.</w:t>
      </w:r>
    </w:p>
    <w:p w14:paraId="5D824406" w14:textId="138860E3" w:rsidR="0005191D" w:rsidRPr="009F2075" w:rsidRDefault="0005191D" w:rsidP="00562DCC">
      <w:pPr>
        <w:jc w:val="both"/>
      </w:pPr>
      <w:r w:rsidRPr="009F2075">
        <w:t xml:space="preserve">Of the underlying growth </w:t>
      </w:r>
      <w:r w:rsidR="0029787C" w:rsidRPr="009F2075">
        <w:t xml:space="preserve">in </w:t>
      </w:r>
      <w:r w:rsidR="008207E8">
        <w:t>S</w:t>
      </w:r>
      <w:r w:rsidR="0029787C" w:rsidRPr="009F2075">
        <w:t xml:space="preserve">elf-pay revenue </w:t>
      </w:r>
      <w:r w:rsidRPr="009F2075">
        <w:t xml:space="preserve">of </w:t>
      </w:r>
      <w:r w:rsidR="008207E8">
        <w:t>6.6</w:t>
      </w:r>
      <w:r w:rsidR="00562DCC" w:rsidRPr="009F2075">
        <w:t>%</w:t>
      </w:r>
      <w:r w:rsidRPr="009F2075">
        <w:t>:</w:t>
      </w:r>
    </w:p>
    <w:p w14:paraId="71F993F7" w14:textId="3817348A" w:rsidR="008207E8" w:rsidRPr="008207E8" w:rsidRDefault="008207E8" w:rsidP="00562DCC">
      <w:pPr>
        <w:pStyle w:val="Bullet1"/>
        <w:jc w:val="both"/>
      </w:pPr>
      <w:r>
        <w:t>a</w:t>
      </w:r>
      <w:r w:rsidRPr="00A37B8E">
        <w:t xml:space="preserve">n increase of </w:t>
      </w:r>
      <w:r w:rsidRPr="00202A87">
        <w:t>6.8% in</w:t>
      </w:r>
      <w:r>
        <w:t xml:space="preserve"> the volume of in-patient and daycase admissions accounted for a 4.4% increase in Self-pay </w:t>
      </w:r>
      <w:r w:rsidRPr="00CE4569">
        <w:t>revenue</w:t>
      </w:r>
      <w:r>
        <w:t xml:space="preserve"> in the year</w:t>
      </w:r>
      <w:r w:rsidRPr="008207E8">
        <w:t>;</w:t>
      </w:r>
    </w:p>
    <w:p w14:paraId="14FC3F4B" w14:textId="698F4F1E" w:rsidR="00562DCC" w:rsidRPr="008207E8" w:rsidRDefault="00205189" w:rsidP="00562DCC">
      <w:pPr>
        <w:pStyle w:val="Bullet1"/>
        <w:jc w:val="both"/>
      </w:pPr>
      <w:r>
        <w:t xml:space="preserve">the Group reported an increase in the rate for in-patient and daycase (average revenue per case) equivalent to a 0.7% increase in Self-pay </w:t>
      </w:r>
      <w:r w:rsidRPr="00CE4569">
        <w:t>revenue</w:t>
      </w:r>
      <w:r w:rsidR="00562DCC" w:rsidRPr="008207E8">
        <w:t>; and</w:t>
      </w:r>
    </w:p>
    <w:p w14:paraId="2C14E435" w14:textId="11E489C2" w:rsidR="00562DCC" w:rsidRPr="008207E8" w:rsidRDefault="00205189" w:rsidP="00562DCC">
      <w:pPr>
        <w:pStyle w:val="Bullet1"/>
        <w:jc w:val="both"/>
      </w:pPr>
      <w:proofErr w:type="gramStart"/>
      <w:r>
        <w:t>out</w:t>
      </w:r>
      <w:r w:rsidR="00D303B1">
        <w:t>-</w:t>
      </w:r>
      <w:r>
        <w:t>patient</w:t>
      </w:r>
      <w:proofErr w:type="gramEnd"/>
      <w:r>
        <w:t xml:space="preserve"> activities increased with the volume of admissions, accounting for an overall increase in Self-pay </w:t>
      </w:r>
      <w:r w:rsidRPr="00CE4569">
        <w:t>revenue</w:t>
      </w:r>
      <w:r>
        <w:t xml:space="preserve"> of 1.5% over 2014</w:t>
      </w:r>
      <w:r w:rsidR="00562DCC" w:rsidRPr="008207E8">
        <w:t>.</w:t>
      </w:r>
    </w:p>
    <w:p w14:paraId="7C17CE92" w14:textId="3883A0EE" w:rsidR="0005191D" w:rsidRPr="009F2075" w:rsidRDefault="0005191D" w:rsidP="00B2361E">
      <w:pPr>
        <w:pStyle w:val="Heading4"/>
      </w:pPr>
      <w:r w:rsidRPr="009F2075">
        <w:t>OTHER REVENUE</w:t>
      </w:r>
    </w:p>
    <w:p w14:paraId="385CA004" w14:textId="26061B5C" w:rsidR="0005191D" w:rsidRPr="009F2075" w:rsidRDefault="0005191D" w:rsidP="0059056F">
      <w:pPr>
        <w:jc w:val="both"/>
      </w:pPr>
      <w:r w:rsidRPr="009F2075">
        <w:t>Other revenue, which includes fees paid to the Group by consultants (e.g. for the use of Group facilities and services) and third</w:t>
      </w:r>
      <w:r w:rsidR="00614432">
        <w:t>-</w:t>
      </w:r>
      <w:r w:rsidR="00205189">
        <w:t>party revenue</w:t>
      </w:r>
      <w:r w:rsidRPr="009F2075">
        <w:t xml:space="preserve"> (e.g. pathology services to third</w:t>
      </w:r>
      <w:r w:rsidR="002E4675">
        <w:t>-</w:t>
      </w:r>
      <w:r w:rsidRPr="009F2075">
        <w:t>parties)</w:t>
      </w:r>
      <w:r w:rsidR="002E4675">
        <w:t>,</w:t>
      </w:r>
      <w:r w:rsidRPr="009F2075">
        <w:t xml:space="preserve"> increased by £</w:t>
      </w:r>
      <w:r w:rsidR="00205189">
        <w:t>0.2</w:t>
      </w:r>
      <w:r w:rsidRPr="009F2075">
        <w:t xml:space="preserve"> million, or </w:t>
      </w:r>
      <w:r w:rsidR="00205189">
        <w:t>0.6</w:t>
      </w:r>
      <w:r w:rsidRPr="009F2075">
        <w:t xml:space="preserve">%, in the year, </w:t>
      </w:r>
      <w:r w:rsidR="00205189">
        <w:t xml:space="preserve">to </w:t>
      </w:r>
      <w:r w:rsidRPr="009F2075">
        <w:t>£</w:t>
      </w:r>
      <w:r w:rsidR="00E20A23" w:rsidRPr="009F2075">
        <w:t>31.</w:t>
      </w:r>
      <w:r w:rsidR="00205189">
        <w:t>8</w:t>
      </w:r>
      <w:r w:rsidR="00E20A23" w:rsidRPr="009F2075">
        <w:t xml:space="preserve"> </w:t>
      </w:r>
      <w:r w:rsidRPr="009F2075">
        <w:t xml:space="preserve">million </w:t>
      </w:r>
      <w:r w:rsidR="00205189">
        <w:t>(</w:t>
      </w:r>
      <w:r w:rsidRPr="009F2075">
        <w:t>201</w:t>
      </w:r>
      <w:r w:rsidR="0059056F">
        <w:t>4</w:t>
      </w:r>
      <w:r w:rsidR="00205189">
        <w:t xml:space="preserve">: </w:t>
      </w:r>
      <w:r w:rsidR="00205189" w:rsidRPr="009F2075">
        <w:t>£31.6 million</w:t>
      </w:r>
      <w:r w:rsidR="00205189">
        <w:t>)</w:t>
      </w:r>
      <w:r w:rsidRPr="009F2075">
        <w:t>.</w:t>
      </w:r>
    </w:p>
    <w:p w14:paraId="45075E34" w14:textId="77777777" w:rsidR="0005191D" w:rsidRPr="00B2361E" w:rsidRDefault="0005191D" w:rsidP="00B2361E">
      <w:pPr>
        <w:pStyle w:val="Heading3"/>
      </w:pPr>
      <w:r w:rsidRPr="00B2361E">
        <w:t>COST OF SALES AND GROSS PROFIT</w:t>
      </w:r>
    </w:p>
    <w:p w14:paraId="46B5D3A5" w14:textId="7D369263" w:rsidR="0005191D" w:rsidRPr="009F2075" w:rsidRDefault="0005191D" w:rsidP="004A18DC">
      <w:pPr>
        <w:jc w:val="both"/>
      </w:pPr>
      <w:r w:rsidRPr="009F2075">
        <w:t>Cost of sale</w:t>
      </w:r>
      <w:r w:rsidR="00E37D6F">
        <w:t xml:space="preserve">s increased in the year by </w:t>
      </w:r>
      <w:r w:rsidR="004A18DC" w:rsidRPr="009F2075">
        <w:t>£</w:t>
      </w:r>
      <w:r w:rsidR="00CD093F">
        <w:t>23.4</w:t>
      </w:r>
      <w:r w:rsidR="004A18DC">
        <w:t xml:space="preserve"> </w:t>
      </w:r>
      <w:r w:rsidR="00E37D6F">
        <w:t xml:space="preserve">million, or </w:t>
      </w:r>
      <w:r w:rsidR="00CD093F">
        <w:t>5.4</w:t>
      </w:r>
      <w:r w:rsidR="004A18DC" w:rsidRPr="009F2075">
        <w:t>%</w:t>
      </w:r>
      <w:r w:rsidRPr="009F2075">
        <w:t xml:space="preserve">, </w:t>
      </w:r>
      <w:r w:rsidR="00CD093F">
        <w:t xml:space="preserve">to </w:t>
      </w:r>
      <w:r w:rsidR="00CD093F" w:rsidRPr="009F2075">
        <w:t>£</w:t>
      </w:r>
      <w:r w:rsidR="00CD093F">
        <w:t xml:space="preserve">460.0 </w:t>
      </w:r>
      <w:r w:rsidR="00CD093F" w:rsidRPr="009F2075">
        <w:t xml:space="preserve">million </w:t>
      </w:r>
      <w:r w:rsidR="00CD093F">
        <w:t xml:space="preserve">(2014: </w:t>
      </w:r>
      <w:r w:rsidRPr="009F2075">
        <w:t>£</w:t>
      </w:r>
      <w:r w:rsidR="004A18DC">
        <w:t>4</w:t>
      </w:r>
      <w:r w:rsidRPr="009F2075">
        <w:t>3</w:t>
      </w:r>
      <w:r w:rsidR="004A18DC">
        <w:t>6</w:t>
      </w:r>
      <w:r w:rsidRPr="009F2075">
        <w:t>.</w:t>
      </w:r>
      <w:r w:rsidR="004A18DC">
        <w:t>6</w:t>
      </w:r>
      <w:r w:rsidRPr="009F2075">
        <w:t xml:space="preserve"> million</w:t>
      </w:r>
      <w:r w:rsidR="00CD093F">
        <w:t>)</w:t>
      </w:r>
      <w:r w:rsidRPr="009F2075">
        <w:t>.</w:t>
      </w:r>
    </w:p>
    <w:p w14:paraId="48854A37" w14:textId="69140B27" w:rsidR="0005191D" w:rsidRPr="009F2075" w:rsidRDefault="00F06020" w:rsidP="00B535F0">
      <w:pPr>
        <w:jc w:val="both"/>
      </w:pPr>
      <w:r>
        <w:t>Underlying cost</w:t>
      </w:r>
      <w:r w:rsidR="0005191D" w:rsidRPr="009F2075">
        <w:t xml:space="preserve"> of sales</w:t>
      </w:r>
      <w:r w:rsidR="00B535F0">
        <w:t xml:space="preserve"> (</w:t>
      </w:r>
      <w:r w:rsidR="0005191D" w:rsidRPr="009F2075">
        <w:t>excluding</w:t>
      </w:r>
      <w:r w:rsidR="00CD093F" w:rsidRPr="009F2075">
        <w:t xml:space="preserve"> </w:t>
      </w:r>
      <w:r w:rsidR="00CD093F">
        <w:t>Spire</w:t>
      </w:r>
      <w:r w:rsidR="00CD093F" w:rsidRPr="009F2075">
        <w:t xml:space="preserve"> St </w:t>
      </w:r>
      <w:r w:rsidR="00CD093F">
        <w:t>Saviour’s</w:t>
      </w:r>
      <w:r w:rsidR="004518D8">
        <w:t xml:space="preserve"> and </w:t>
      </w:r>
      <w:r w:rsidR="00CD093F">
        <w:t>Spire</w:t>
      </w:r>
      <w:r w:rsidR="00CD093F" w:rsidRPr="009F2075">
        <w:t xml:space="preserve"> St Anthony’s </w:t>
      </w:r>
      <w:r w:rsidR="00D303B1">
        <w:t>h</w:t>
      </w:r>
      <w:r w:rsidR="00CD093F" w:rsidRPr="009F2075">
        <w:t>ospital</w:t>
      </w:r>
      <w:r w:rsidR="00D303B1">
        <w:t>s</w:t>
      </w:r>
      <w:r w:rsidR="00CD093F">
        <w:t xml:space="preserve"> and the fertility business)</w:t>
      </w:r>
      <w:r w:rsidR="00CD093F" w:rsidRPr="009F2075">
        <w:t xml:space="preserve"> </w:t>
      </w:r>
      <w:r w:rsidR="00CD093F">
        <w:t xml:space="preserve">increased in the year by </w:t>
      </w:r>
      <w:r w:rsidR="00CD093F" w:rsidRPr="009F2075">
        <w:t>£</w:t>
      </w:r>
      <w:r w:rsidR="00CD093F">
        <w:t>17.1 million, or 4.1</w:t>
      </w:r>
      <w:r w:rsidR="00CD093F" w:rsidRPr="009F2075">
        <w:t xml:space="preserve">%, </w:t>
      </w:r>
      <w:r w:rsidR="00CD093F">
        <w:t xml:space="preserve">to </w:t>
      </w:r>
      <w:r w:rsidR="00CD093F" w:rsidRPr="009F2075">
        <w:t>£</w:t>
      </w:r>
      <w:r w:rsidR="00CD093F">
        <w:t>436.8 million</w:t>
      </w:r>
      <w:r w:rsidR="00CD093F" w:rsidRPr="009F2075">
        <w:t xml:space="preserve"> </w:t>
      </w:r>
      <w:r w:rsidR="00CD093F">
        <w:t>(2014:</w:t>
      </w:r>
      <w:r w:rsidR="00CD093F" w:rsidRPr="009F2075">
        <w:t xml:space="preserve"> £</w:t>
      </w:r>
      <w:r w:rsidR="00CD093F">
        <w:t>419.7</w:t>
      </w:r>
      <w:r w:rsidR="00CD093F" w:rsidRPr="009F2075">
        <w:t xml:space="preserve"> million</w:t>
      </w:r>
      <w:r w:rsidR="00CD093F">
        <w:t>)</w:t>
      </w:r>
      <w:r w:rsidR="0005191D" w:rsidRPr="009F2075">
        <w:t>.</w:t>
      </w:r>
    </w:p>
    <w:p w14:paraId="3C7D01B0" w14:textId="5E8A3D29" w:rsidR="0005191D" w:rsidRDefault="0005191D" w:rsidP="00CB15E8">
      <w:pPr>
        <w:jc w:val="both"/>
      </w:pPr>
      <w:r w:rsidRPr="009F2075">
        <w:t>Underlying gross mar</w:t>
      </w:r>
      <w:r w:rsidR="00E37D6F">
        <w:t>gin for the year of 201</w:t>
      </w:r>
      <w:r w:rsidR="00195DC4">
        <w:t>5</w:t>
      </w:r>
      <w:r w:rsidR="00E37D6F">
        <w:t xml:space="preserve"> was </w:t>
      </w:r>
      <w:r w:rsidR="00CD093F">
        <w:t>48.5</w:t>
      </w:r>
      <w:r w:rsidR="00195DC4" w:rsidRPr="009F2075">
        <w:t>%</w:t>
      </w:r>
      <w:r w:rsidRPr="009F2075">
        <w:t xml:space="preserve">, compared to </w:t>
      </w:r>
      <w:r w:rsidR="00195DC4">
        <w:t>49</w:t>
      </w:r>
      <w:r w:rsidRPr="009F2075">
        <w:t>.</w:t>
      </w:r>
      <w:r w:rsidR="00CD093F">
        <w:t>2</w:t>
      </w:r>
      <w:r w:rsidRPr="009F2075">
        <w:t>% in 201</w:t>
      </w:r>
      <w:r w:rsidR="00195DC4">
        <w:t>4</w:t>
      </w:r>
      <w:r w:rsidRPr="009F2075">
        <w:t>.</w:t>
      </w:r>
    </w:p>
    <w:p w14:paraId="2F35A7BF" w14:textId="4888A567" w:rsidR="00254246" w:rsidRDefault="00254246" w:rsidP="00CB15E8">
      <w:pPr>
        <w:jc w:val="both"/>
      </w:pPr>
      <w:r>
        <w:t>On an underlying basis, and as a percentage of relevant revenue:</w:t>
      </w:r>
    </w:p>
    <w:p w14:paraId="25F0D110" w14:textId="4C91FC53" w:rsidR="00CD093F" w:rsidRDefault="00687C42" w:rsidP="00254246">
      <w:pPr>
        <w:pStyle w:val="Bullet1"/>
        <w:jc w:val="both"/>
      </w:pPr>
      <w:proofErr w:type="gramStart"/>
      <w:r>
        <w:t>clinical</w:t>
      </w:r>
      <w:proofErr w:type="gramEnd"/>
      <w:r>
        <w:t xml:space="preserve"> staffing costs increased from 17.3% of revenue for the </w:t>
      </w:r>
      <w:r w:rsidRPr="009F2075">
        <w:t>year ended 31 December 201</w:t>
      </w:r>
      <w:r>
        <w:t xml:space="preserve">4 to 18.4% of revenues for the </w:t>
      </w:r>
      <w:r w:rsidRPr="009F2075">
        <w:t>year ended 31 December 201</w:t>
      </w:r>
      <w:r>
        <w:t>5. The increase in costs reflects the current overall shortage in the supply of qualified nursing staff across the UK and a consequent increase in agency staffing spend</w:t>
      </w:r>
      <w:r w:rsidR="00CD093F">
        <w:t>;</w:t>
      </w:r>
    </w:p>
    <w:p w14:paraId="35933E0A" w14:textId="31124BF9" w:rsidR="00CD093F" w:rsidRDefault="00794FCD" w:rsidP="00254246">
      <w:pPr>
        <w:pStyle w:val="Bullet1"/>
        <w:jc w:val="both"/>
      </w:pPr>
      <w:proofErr w:type="gramStart"/>
      <w:r>
        <w:t>fees</w:t>
      </w:r>
      <w:proofErr w:type="gramEnd"/>
      <w:r>
        <w:t xml:space="preserve"> paid to clinicians for services provided to the NHS increased from 5.8% of revenue for the </w:t>
      </w:r>
      <w:r w:rsidRPr="009F2075">
        <w:t>year ended 31 December 201</w:t>
      </w:r>
      <w:r>
        <w:t xml:space="preserve">4 to 6.0% of revenue for the </w:t>
      </w:r>
      <w:r w:rsidRPr="009F2075">
        <w:t>year ended 31 December 201</w:t>
      </w:r>
      <w:r>
        <w:t xml:space="preserve">5. This increase reflects the weighting of overall revenue growth in the year. Fees as a percentage of NHS revenue have reduced in the year from 19.9% of NHS revenue for the </w:t>
      </w:r>
      <w:r w:rsidRPr="009F2075">
        <w:t>year ended 31 December 201</w:t>
      </w:r>
      <w:r>
        <w:t xml:space="preserve">4 to 19.8% for the </w:t>
      </w:r>
      <w:r w:rsidRPr="009F2075">
        <w:t>year ended 31 December 201</w:t>
      </w:r>
      <w:r>
        <w:t>5</w:t>
      </w:r>
      <w:r w:rsidR="00CD093F">
        <w:t>;</w:t>
      </w:r>
    </w:p>
    <w:p w14:paraId="18896E03" w14:textId="4CC75865" w:rsidR="00254246" w:rsidRDefault="00CD093F" w:rsidP="00254246">
      <w:pPr>
        <w:pStyle w:val="Bullet1"/>
        <w:jc w:val="both"/>
      </w:pPr>
      <w:proofErr w:type="gramStart"/>
      <w:r>
        <w:t>other</w:t>
      </w:r>
      <w:proofErr w:type="gramEnd"/>
      <w:r>
        <w:t xml:space="preserve"> direct costs, which includes drugs, consumables and prosthesis spend, has reduced in the year from 22.0% of revenue for the </w:t>
      </w:r>
      <w:r w:rsidRPr="009F2075">
        <w:t>year ended 31 December 201</w:t>
      </w:r>
      <w:r>
        <w:t xml:space="preserve">4 to 21.7% of revenue for the </w:t>
      </w:r>
      <w:r w:rsidRPr="009F2075">
        <w:t>year ended 31 December 201</w:t>
      </w:r>
      <w:r>
        <w:t>5. This has been achieved notwithstanding a relative increase in NHS activities and a reduction in equivalent NHS tariff reimbursement rates</w:t>
      </w:r>
      <w:r w:rsidR="00254246">
        <w:t>; and</w:t>
      </w:r>
    </w:p>
    <w:p w14:paraId="6B4E2FBF" w14:textId="3F002D89" w:rsidR="00254246" w:rsidRPr="00B2361E" w:rsidRDefault="00CD093F" w:rsidP="00254246">
      <w:pPr>
        <w:pStyle w:val="Bullet1"/>
        <w:jc w:val="both"/>
      </w:pPr>
      <w:proofErr w:type="gramStart"/>
      <w:r>
        <w:t>other</w:t>
      </w:r>
      <w:proofErr w:type="gramEnd"/>
      <w:r>
        <w:t xml:space="preserve"> fees payable to consultants for out-patient and diagnostic activities reduced as a percentage of revenue, from 5.7% for the </w:t>
      </w:r>
      <w:r w:rsidRPr="009F2075">
        <w:t>year ended 31 December 201</w:t>
      </w:r>
      <w:r>
        <w:t xml:space="preserve">4 to 5.6% of revenue for the </w:t>
      </w:r>
      <w:r w:rsidRPr="009F2075">
        <w:t>year ended 31 December 201</w:t>
      </w:r>
      <w:r>
        <w:t>5</w:t>
      </w:r>
      <w:r w:rsidR="00254246">
        <w:t>.</w:t>
      </w:r>
    </w:p>
    <w:p w14:paraId="1C17FC21" w14:textId="77777777" w:rsidR="00A3527A" w:rsidRDefault="00A3527A">
      <w:pPr>
        <w:spacing w:after="160" w:line="259" w:lineRule="auto"/>
        <w:rPr>
          <w:rFonts w:asciiTheme="majorHAnsi" w:eastAsiaTheme="majorEastAsia" w:hAnsiTheme="majorHAnsi" w:cstheme="majorBidi"/>
          <w:b/>
          <w:caps/>
          <w:color w:val="93B6BB"/>
          <w:szCs w:val="24"/>
        </w:rPr>
      </w:pPr>
      <w:r>
        <w:br w:type="page"/>
      </w:r>
    </w:p>
    <w:p w14:paraId="7532E598" w14:textId="5F1AA425" w:rsidR="0005191D" w:rsidRPr="009F2075" w:rsidRDefault="0005191D" w:rsidP="00B2361E">
      <w:pPr>
        <w:pStyle w:val="Heading3"/>
      </w:pPr>
      <w:r w:rsidRPr="009F2075">
        <w:lastRenderedPageBreak/>
        <w:t>OTHER OPERATING COSTS</w:t>
      </w:r>
    </w:p>
    <w:p w14:paraId="3C9EDDF9" w14:textId="3CF8BB28" w:rsidR="0005191D" w:rsidRPr="009F2075" w:rsidRDefault="00687C42" w:rsidP="002239CE">
      <w:pPr>
        <w:jc w:val="both"/>
      </w:pPr>
      <w:r w:rsidRPr="009F2075">
        <w:t>Other operating costs for the year ended 31 December 201</w:t>
      </w:r>
      <w:r>
        <w:t>5 de</w:t>
      </w:r>
      <w:r w:rsidRPr="009F2075">
        <w:t>creased by £</w:t>
      </w:r>
      <w:r>
        <w:t>30.0</w:t>
      </w:r>
      <w:r w:rsidRPr="009F2075">
        <w:t xml:space="preserve"> </w:t>
      </w:r>
      <w:r>
        <w:t>million, or 8.3</w:t>
      </w:r>
      <w:r w:rsidRPr="009F2075">
        <w:t xml:space="preserve">%, </w:t>
      </w:r>
      <w:r>
        <w:t xml:space="preserve">to </w:t>
      </w:r>
      <w:r w:rsidRPr="009F2075">
        <w:t>£</w:t>
      </w:r>
      <w:r>
        <w:t>329.3</w:t>
      </w:r>
      <w:r w:rsidRPr="009F2075">
        <w:t xml:space="preserve"> million </w:t>
      </w:r>
      <w:r>
        <w:t xml:space="preserve">(2014: </w:t>
      </w:r>
      <w:r w:rsidRPr="009F2075">
        <w:t>£</w:t>
      </w:r>
      <w:r>
        <w:t>359</w:t>
      </w:r>
      <w:r w:rsidRPr="009F2075">
        <w:t>.</w:t>
      </w:r>
      <w:r>
        <w:t>3 million)</w:t>
      </w:r>
      <w:r w:rsidR="0005191D" w:rsidRPr="009F2075">
        <w:t>.</w:t>
      </w:r>
    </w:p>
    <w:p w14:paraId="35B666B6" w14:textId="3524B7F7" w:rsidR="0005191D" w:rsidRPr="009F2075" w:rsidRDefault="00BB0A3D" w:rsidP="007A6D8F">
      <w:pPr>
        <w:jc w:val="both"/>
      </w:pPr>
      <w:r w:rsidRPr="009F2075">
        <w:t>Underlying other operating costs</w:t>
      </w:r>
      <w:r>
        <w:t xml:space="preserve"> (</w:t>
      </w:r>
      <w:r w:rsidRPr="009F2075">
        <w:t xml:space="preserve">excluding </w:t>
      </w:r>
      <w:r>
        <w:t>Spire</w:t>
      </w:r>
      <w:r w:rsidRPr="009F2075">
        <w:t xml:space="preserve"> St </w:t>
      </w:r>
      <w:r>
        <w:t>Saviour’s</w:t>
      </w:r>
      <w:r w:rsidR="0051314A" w:rsidRPr="0051314A">
        <w:t xml:space="preserve"> </w:t>
      </w:r>
      <w:r w:rsidR="00510467">
        <w:t>and</w:t>
      </w:r>
      <w:r>
        <w:t xml:space="preserve"> Spire</w:t>
      </w:r>
      <w:r w:rsidRPr="009F2075">
        <w:t xml:space="preserve"> St Anthony’s </w:t>
      </w:r>
      <w:r w:rsidR="00510467">
        <w:t>h</w:t>
      </w:r>
      <w:r w:rsidRPr="009F2075">
        <w:t>ospital</w:t>
      </w:r>
      <w:r w:rsidR="00510467">
        <w:t>s</w:t>
      </w:r>
      <w:r>
        <w:t xml:space="preserve"> and the fertility business)</w:t>
      </w:r>
      <w:r w:rsidRPr="009F2075">
        <w:t xml:space="preserve"> </w:t>
      </w:r>
      <w:r>
        <w:t xml:space="preserve">decreased in the year by </w:t>
      </w:r>
      <w:r w:rsidRPr="009F2075">
        <w:t>£</w:t>
      </w:r>
      <w:r>
        <w:t>28.4 million, or 8.2</w:t>
      </w:r>
      <w:r w:rsidRPr="009F2075">
        <w:t xml:space="preserve">%, </w:t>
      </w:r>
      <w:r>
        <w:t xml:space="preserve">to </w:t>
      </w:r>
      <w:r w:rsidRPr="009F2075">
        <w:t>£</w:t>
      </w:r>
      <w:r>
        <w:t xml:space="preserve">318.9 </w:t>
      </w:r>
      <w:r w:rsidRPr="009F2075">
        <w:t xml:space="preserve">million </w:t>
      </w:r>
      <w:r>
        <w:t xml:space="preserve">(2014: </w:t>
      </w:r>
      <w:r w:rsidRPr="009F2075">
        <w:t>£</w:t>
      </w:r>
      <w:r>
        <w:t>347</w:t>
      </w:r>
      <w:r w:rsidRPr="009F2075">
        <w:t>.</w:t>
      </w:r>
      <w:r>
        <w:t>3</w:t>
      </w:r>
      <w:r w:rsidRPr="009F2075">
        <w:t xml:space="preserve"> million</w:t>
      </w:r>
      <w:r>
        <w:t>)</w:t>
      </w:r>
      <w:r w:rsidR="00E37D6F">
        <w:t>.</w:t>
      </w:r>
    </w:p>
    <w:p w14:paraId="318F1202" w14:textId="3E12C280" w:rsidR="0005191D" w:rsidRPr="009F2075" w:rsidRDefault="00A3527A" w:rsidP="007A6D8F">
      <w:pPr>
        <w:jc w:val="both"/>
      </w:pPr>
      <w:r w:rsidRPr="009F2075">
        <w:t>Included within these costs are exceptional costs of £</w:t>
      </w:r>
      <w:r>
        <w:t>54</w:t>
      </w:r>
      <w:r w:rsidRPr="009F2075">
        <w:t>.</w:t>
      </w:r>
      <w:r>
        <w:t>0</w:t>
      </w:r>
      <w:r w:rsidRPr="009F2075">
        <w:t xml:space="preserve"> million for 201</w:t>
      </w:r>
      <w:r>
        <w:t>4</w:t>
      </w:r>
      <w:r w:rsidRPr="009F2075">
        <w:t xml:space="preserve"> and £</w:t>
      </w:r>
      <w:r>
        <w:t>15.7</w:t>
      </w:r>
      <w:r w:rsidRPr="009F2075">
        <w:t xml:space="preserve"> million for 201</w:t>
      </w:r>
      <w:r>
        <w:t>5</w:t>
      </w:r>
      <w:r w:rsidRPr="009F2075">
        <w:t xml:space="preserve"> relating to the business reorganisation, </w:t>
      </w:r>
      <w:r>
        <w:t xml:space="preserve">hospital closure, </w:t>
      </w:r>
      <w:r w:rsidRPr="009F2075">
        <w:t>and regulatory and governance costs. Before exceptional items, underlying op</w:t>
      </w:r>
      <w:r>
        <w:t xml:space="preserve">erating costs increased by </w:t>
      </w:r>
      <w:r w:rsidRPr="009F2075">
        <w:t>£</w:t>
      </w:r>
      <w:r>
        <w:t>9.9</w:t>
      </w:r>
      <w:r w:rsidRPr="009F2075">
        <w:t xml:space="preserve"> million, or </w:t>
      </w:r>
      <w:r>
        <w:t>3.4</w:t>
      </w:r>
      <w:r w:rsidRPr="009F2075">
        <w:t>% from £</w:t>
      </w:r>
      <w:r>
        <w:t>293.3</w:t>
      </w:r>
      <w:r w:rsidRPr="009F2075">
        <w:t xml:space="preserve"> million for the year ended 31 December 201</w:t>
      </w:r>
      <w:r>
        <w:t>4</w:t>
      </w:r>
      <w:r w:rsidRPr="009F2075">
        <w:t xml:space="preserve"> to £</w:t>
      </w:r>
      <w:r>
        <w:t>303.2</w:t>
      </w:r>
      <w:r w:rsidRPr="009F2075">
        <w:t xml:space="preserve"> million for the year ended 31 December 201</w:t>
      </w:r>
      <w:r>
        <w:t>5</w:t>
      </w:r>
      <w:r w:rsidRPr="009F2075">
        <w:t xml:space="preserve"> on revenue growth of </w:t>
      </w:r>
      <w:r>
        <w:t>2.5</w:t>
      </w:r>
      <w:r w:rsidRPr="009F2075">
        <w:t>% in the year</w:t>
      </w:r>
      <w:r w:rsidR="0005191D" w:rsidRPr="009F2075">
        <w:t>.</w:t>
      </w:r>
    </w:p>
    <w:p w14:paraId="58B2B1EA" w14:textId="77777777" w:rsidR="0005191D" w:rsidRPr="00B2361E" w:rsidRDefault="0005191D" w:rsidP="00B2361E">
      <w:pPr>
        <w:pStyle w:val="Heading4"/>
      </w:pPr>
      <w:r w:rsidRPr="00B2361E">
        <w:t>DEPRECIATION</w:t>
      </w:r>
    </w:p>
    <w:p w14:paraId="5A603A05" w14:textId="2295C86B" w:rsidR="0005191D" w:rsidRPr="009F2075" w:rsidRDefault="00A3527A" w:rsidP="0012588B">
      <w:pPr>
        <w:jc w:val="both"/>
      </w:pPr>
      <w:r w:rsidRPr="009F2075">
        <w:t>Excluding £</w:t>
      </w:r>
      <w:r>
        <w:t xml:space="preserve">1.5 </w:t>
      </w:r>
      <w:r w:rsidRPr="009F2075">
        <w:t xml:space="preserve">million </w:t>
      </w:r>
      <w:r>
        <w:t>relating to</w:t>
      </w:r>
      <w:r w:rsidRPr="009F2075">
        <w:t xml:space="preserve"> </w:t>
      </w:r>
      <w:r>
        <w:t>Spire</w:t>
      </w:r>
      <w:r w:rsidRPr="009F2075">
        <w:t xml:space="preserve"> St </w:t>
      </w:r>
      <w:r>
        <w:t xml:space="preserve">Saviour’s and Spire </w:t>
      </w:r>
      <w:r w:rsidRPr="009F2075">
        <w:t xml:space="preserve">St Anthony’s </w:t>
      </w:r>
      <w:r w:rsidR="0051314A">
        <w:t>h</w:t>
      </w:r>
      <w:r w:rsidRPr="009F2075">
        <w:t>ospital</w:t>
      </w:r>
      <w:r>
        <w:t>s</w:t>
      </w:r>
      <w:r w:rsidRPr="009F2075">
        <w:t xml:space="preserve">, the </w:t>
      </w:r>
      <w:r>
        <w:t xml:space="preserve">underlying </w:t>
      </w:r>
      <w:r w:rsidRPr="009F2075">
        <w:t>charge for depreciation for the year ended 31 December 201</w:t>
      </w:r>
      <w:r>
        <w:t>5</w:t>
      </w:r>
      <w:r w:rsidRPr="009F2075">
        <w:t xml:space="preserve"> has increased by £</w:t>
      </w:r>
      <w:r>
        <w:t>3.4</w:t>
      </w:r>
      <w:r w:rsidRPr="009F2075">
        <w:t xml:space="preserve"> million, or </w:t>
      </w:r>
      <w:r w:rsidRPr="00D22633">
        <w:t>7.7</w:t>
      </w:r>
      <w:r w:rsidRPr="009F2075">
        <w:t>%</w:t>
      </w:r>
      <w:r>
        <w:t>,</w:t>
      </w:r>
      <w:r w:rsidRPr="009F2075">
        <w:t xml:space="preserve"> relative to 201</w:t>
      </w:r>
      <w:r>
        <w:t>4,</w:t>
      </w:r>
      <w:r w:rsidRPr="009F2075">
        <w:t xml:space="preserve"> to £</w:t>
      </w:r>
      <w:r>
        <w:t>47.4</w:t>
      </w:r>
      <w:r w:rsidRPr="009F2075">
        <w:t xml:space="preserve"> million</w:t>
      </w:r>
      <w:r w:rsidR="0005191D" w:rsidRPr="009F2075">
        <w:t>.</w:t>
      </w:r>
    </w:p>
    <w:p w14:paraId="389EADC1" w14:textId="414CCE28" w:rsidR="0005191D" w:rsidRPr="009F2075" w:rsidRDefault="0005191D" w:rsidP="00B2361E">
      <w:pPr>
        <w:pStyle w:val="Heading4"/>
      </w:pPr>
      <w:r w:rsidRPr="009F2075">
        <w:t>RENT</w:t>
      </w:r>
    </w:p>
    <w:p w14:paraId="3A7C9A15" w14:textId="76A31148" w:rsidR="0005191D" w:rsidRPr="009F2075" w:rsidRDefault="00A3527A" w:rsidP="00986460">
      <w:pPr>
        <w:jc w:val="both"/>
      </w:pPr>
      <w:r w:rsidRPr="009F2075">
        <w:t xml:space="preserve">Rent of land and buildings </w:t>
      </w:r>
      <w:r>
        <w:t xml:space="preserve">before exceptional items </w:t>
      </w:r>
      <w:r w:rsidRPr="009F2075">
        <w:t>for the year, excluding £</w:t>
      </w:r>
      <w:r>
        <w:t>0.1</w:t>
      </w:r>
      <w:r w:rsidRPr="009F2075">
        <w:t xml:space="preserve"> million </w:t>
      </w:r>
      <w:r>
        <w:t>relating to Spire</w:t>
      </w:r>
      <w:r w:rsidRPr="009F2075">
        <w:t xml:space="preserve"> St Anthony’s </w:t>
      </w:r>
      <w:r>
        <w:t>H</w:t>
      </w:r>
      <w:r w:rsidRPr="009F2075">
        <w:t>ospital</w:t>
      </w:r>
      <w:r>
        <w:t>,</w:t>
      </w:r>
      <w:r w:rsidRPr="009F2075">
        <w:t xml:space="preserve"> increased by £</w:t>
      </w:r>
      <w:r>
        <w:t>1.6</w:t>
      </w:r>
      <w:r w:rsidRPr="009F2075">
        <w:t xml:space="preserve"> million, or </w:t>
      </w:r>
      <w:r>
        <w:t>2.6</w:t>
      </w:r>
      <w:r w:rsidRPr="009F2075">
        <w:t>%, to £</w:t>
      </w:r>
      <w:r>
        <w:t>62.2</w:t>
      </w:r>
      <w:r w:rsidRPr="009F2075">
        <w:t xml:space="preserve"> million.</w:t>
      </w:r>
      <w:r>
        <w:t xml:space="preserve"> </w:t>
      </w:r>
      <w:r w:rsidRPr="009F2075">
        <w:t>The increase is largely the consequence of the annualised impact of Spire Washington Hospital</w:t>
      </w:r>
      <w:r>
        <w:t xml:space="preserve"> rent and commencement of rental of Spire </w:t>
      </w:r>
      <w:proofErr w:type="spellStart"/>
      <w:r>
        <w:t>Hesslewood</w:t>
      </w:r>
      <w:proofErr w:type="spellEnd"/>
      <w:r>
        <w:t xml:space="preserve"> Clinic, Hull</w:t>
      </w:r>
      <w:r w:rsidR="0005191D" w:rsidRPr="009F2075">
        <w:t>.</w:t>
      </w:r>
    </w:p>
    <w:p w14:paraId="592FF0B8" w14:textId="77777777" w:rsidR="0005191D" w:rsidRPr="00B2361E" w:rsidRDefault="0005191D" w:rsidP="00B2361E">
      <w:pPr>
        <w:pStyle w:val="Heading4"/>
      </w:pPr>
      <w:r w:rsidRPr="00B2361E">
        <w:t>SHARE-BASED PAYMENTS IN OTHER OPERATING COSTS</w:t>
      </w:r>
    </w:p>
    <w:p w14:paraId="5521BF20" w14:textId="45E3239D" w:rsidR="00266EC2" w:rsidRDefault="00266EC2" w:rsidP="00266EC2">
      <w:pPr>
        <w:jc w:val="both"/>
      </w:pPr>
      <w:r>
        <w:t>During the year</w:t>
      </w:r>
      <w:r w:rsidR="0005191D" w:rsidRPr="009F2075">
        <w:t xml:space="preserve">, </w:t>
      </w:r>
      <w:r>
        <w:t xml:space="preserve">grants were made to </w:t>
      </w:r>
      <w:r w:rsidR="00A3527A">
        <w:t>E</w:t>
      </w:r>
      <w:r w:rsidRPr="00C202E5">
        <w:t xml:space="preserve">xecutive </w:t>
      </w:r>
      <w:r w:rsidR="00A3527A">
        <w:t>D</w:t>
      </w:r>
      <w:r w:rsidRPr="00C202E5">
        <w:t>irectors and members of the senior management team</w:t>
      </w:r>
      <w:r w:rsidDel="000E1641">
        <w:t xml:space="preserve"> </w:t>
      </w:r>
      <w:r>
        <w:t xml:space="preserve">under the Company’s </w:t>
      </w:r>
      <w:r w:rsidR="007C460F">
        <w:t>D</w:t>
      </w:r>
      <w:r>
        <w:t xml:space="preserve">eferred </w:t>
      </w:r>
      <w:r w:rsidR="007C460F">
        <w:t>B</w:t>
      </w:r>
      <w:r>
        <w:t xml:space="preserve">onus </w:t>
      </w:r>
      <w:r w:rsidR="007C460F">
        <w:t>Plan and L</w:t>
      </w:r>
      <w:r w:rsidRPr="00C202E5">
        <w:t xml:space="preserve">ong </w:t>
      </w:r>
      <w:r w:rsidR="007C460F">
        <w:t>T</w:t>
      </w:r>
      <w:r w:rsidRPr="00C202E5">
        <w:t xml:space="preserve">erm </w:t>
      </w:r>
      <w:r w:rsidR="007C460F">
        <w:t>I</w:t>
      </w:r>
      <w:r w:rsidRPr="00C202E5">
        <w:t xml:space="preserve">ncentive </w:t>
      </w:r>
      <w:r w:rsidR="007C460F">
        <w:t>P</w:t>
      </w:r>
      <w:r w:rsidRPr="00C202E5">
        <w:t xml:space="preserve">lan. </w:t>
      </w:r>
      <w:r>
        <w:t xml:space="preserve">For </w:t>
      </w:r>
      <w:r w:rsidRPr="009F2075">
        <w:t>the year ended 31 December 201</w:t>
      </w:r>
      <w:r>
        <w:t xml:space="preserve">5, the charge to the income statement was </w:t>
      </w:r>
      <w:r w:rsidR="000159EA" w:rsidRPr="009F2075">
        <w:t>£</w:t>
      </w:r>
      <w:r w:rsidR="00A3527A">
        <w:t>0.7</w:t>
      </w:r>
      <w:r>
        <w:t xml:space="preserve"> million, or </w:t>
      </w:r>
      <w:r w:rsidR="000159EA" w:rsidRPr="009F2075">
        <w:t>£</w:t>
      </w:r>
      <w:r w:rsidR="00A3527A">
        <w:t>0.8</w:t>
      </w:r>
      <w:r>
        <w:t xml:space="preserve"> million inclusive of NI. </w:t>
      </w:r>
      <w:r w:rsidRPr="00C202E5">
        <w:t xml:space="preserve">Further details are contained in note </w:t>
      </w:r>
      <w:r w:rsidR="007B23F9">
        <w:t>20</w:t>
      </w:r>
      <w:r w:rsidRPr="00C202E5">
        <w:t xml:space="preserve"> of this </w:t>
      </w:r>
      <w:r w:rsidR="008128D4">
        <w:t xml:space="preserve">preliminary </w:t>
      </w:r>
      <w:r>
        <w:t>announcement</w:t>
      </w:r>
      <w:r w:rsidR="008128D4">
        <w:t>.</w:t>
      </w:r>
    </w:p>
    <w:p w14:paraId="7386992F" w14:textId="537DFA11" w:rsidR="0005191D" w:rsidRPr="009F2075" w:rsidRDefault="008128D4" w:rsidP="008128D4">
      <w:pPr>
        <w:jc w:val="both"/>
      </w:pPr>
      <w:r>
        <w:t xml:space="preserve">For </w:t>
      </w:r>
      <w:r w:rsidRPr="009F2075">
        <w:t>the year ended 31 December 201</w:t>
      </w:r>
      <w:r>
        <w:t>4, t</w:t>
      </w:r>
      <w:r w:rsidR="00D82E07" w:rsidRPr="00D82E07">
        <w:t xml:space="preserve">he charge to the income statement was £2.8 million (£3.7 million inclusive of NI), of which £2.5 million (£3.4 million inclusive of NI) related to the Directors’ Share Bonus Award and was charged to exceptional items, as it related to performance during the period prior to the </w:t>
      </w:r>
      <w:r w:rsidR="0005191D" w:rsidRPr="009F2075">
        <w:t>IPO.</w:t>
      </w:r>
    </w:p>
    <w:p w14:paraId="0DAF90EB" w14:textId="77777777" w:rsidR="0005191D" w:rsidRPr="00B2361E" w:rsidRDefault="0005191D" w:rsidP="00B2361E">
      <w:pPr>
        <w:pStyle w:val="Heading4"/>
      </w:pPr>
      <w:r w:rsidRPr="00B2361E">
        <w:t>EXCEPTIONAL ITEMS INCLUDED IN OTHER OPERATING COSTS</w:t>
      </w:r>
    </w:p>
    <w:tbl>
      <w:tblPr>
        <w:tblW w:w="9072" w:type="dxa"/>
        <w:tblLayout w:type="fixed"/>
        <w:tblCellMar>
          <w:left w:w="0" w:type="dxa"/>
          <w:right w:w="57" w:type="dxa"/>
        </w:tblCellMar>
        <w:tblLook w:val="0000" w:firstRow="0" w:lastRow="0" w:firstColumn="0" w:lastColumn="0" w:noHBand="0" w:noVBand="0"/>
      </w:tblPr>
      <w:tblGrid>
        <w:gridCol w:w="7207"/>
        <w:gridCol w:w="932"/>
        <w:gridCol w:w="933"/>
      </w:tblGrid>
      <w:tr w:rsidR="0005191D" w:rsidRPr="009F2075" w14:paraId="025EE36E" w14:textId="77777777" w:rsidTr="008128D4">
        <w:tc>
          <w:tcPr>
            <w:tcW w:w="7207" w:type="dxa"/>
            <w:tcBorders>
              <w:left w:val="nil"/>
              <w:bottom w:val="single" w:sz="4" w:space="0" w:color="93B7BB"/>
              <w:right w:val="nil"/>
            </w:tcBorders>
            <w:shd w:val="clear" w:color="auto" w:fill="auto"/>
            <w:vAlign w:val="bottom"/>
          </w:tcPr>
          <w:p w14:paraId="23575021" w14:textId="77777777" w:rsidR="0005191D" w:rsidRPr="003032A7" w:rsidRDefault="0005191D" w:rsidP="003032A7">
            <w:pPr>
              <w:pStyle w:val="Tableheading"/>
            </w:pPr>
            <w:r w:rsidRPr="003032A7">
              <w:t>(£ million)</w:t>
            </w:r>
          </w:p>
        </w:tc>
        <w:tc>
          <w:tcPr>
            <w:tcW w:w="932" w:type="dxa"/>
            <w:tcBorders>
              <w:left w:val="nil"/>
              <w:bottom w:val="single" w:sz="4" w:space="0" w:color="93B7BB"/>
              <w:right w:val="nil"/>
            </w:tcBorders>
            <w:shd w:val="clear" w:color="auto" w:fill="auto"/>
            <w:vAlign w:val="bottom"/>
          </w:tcPr>
          <w:p w14:paraId="67A9C3C6" w14:textId="4D1130F6" w:rsidR="0005191D" w:rsidRPr="003032A7" w:rsidRDefault="0005191D" w:rsidP="008128D4">
            <w:pPr>
              <w:pStyle w:val="Tableheading"/>
              <w:jc w:val="right"/>
              <w:rPr>
                <w:b/>
              </w:rPr>
            </w:pPr>
            <w:r w:rsidRPr="003032A7">
              <w:rPr>
                <w:b/>
              </w:rPr>
              <w:t>201</w:t>
            </w:r>
            <w:r w:rsidR="008128D4">
              <w:rPr>
                <w:b/>
              </w:rPr>
              <w:t>5</w:t>
            </w:r>
          </w:p>
        </w:tc>
        <w:tc>
          <w:tcPr>
            <w:tcW w:w="933" w:type="dxa"/>
            <w:tcBorders>
              <w:left w:val="nil"/>
              <w:bottom w:val="single" w:sz="4" w:space="0" w:color="93B7BB"/>
              <w:right w:val="nil"/>
            </w:tcBorders>
            <w:shd w:val="clear" w:color="auto" w:fill="auto"/>
            <w:vAlign w:val="bottom"/>
          </w:tcPr>
          <w:p w14:paraId="76C86F33" w14:textId="6302EDFB" w:rsidR="0005191D" w:rsidRPr="003032A7" w:rsidRDefault="0005191D" w:rsidP="008128D4">
            <w:pPr>
              <w:pStyle w:val="Tableheading"/>
              <w:jc w:val="right"/>
            </w:pPr>
            <w:r w:rsidRPr="003032A7">
              <w:t>201</w:t>
            </w:r>
            <w:r w:rsidR="008128D4">
              <w:t>4</w:t>
            </w:r>
          </w:p>
        </w:tc>
      </w:tr>
      <w:tr w:rsidR="008128D4" w:rsidRPr="009F2075" w14:paraId="2196EAB1" w14:textId="77777777" w:rsidTr="008128D4">
        <w:tc>
          <w:tcPr>
            <w:tcW w:w="7207" w:type="dxa"/>
            <w:tcBorders>
              <w:top w:val="single" w:sz="4" w:space="0" w:color="93B7BB"/>
              <w:left w:val="nil"/>
              <w:bottom w:val="nil"/>
              <w:right w:val="nil"/>
            </w:tcBorders>
          </w:tcPr>
          <w:p w14:paraId="0D4795A8" w14:textId="66CDBF2E" w:rsidR="008128D4" w:rsidRPr="003032A7" w:rsidRDefault="008128D4" w:rsidP="003032A7">
            <w:pPr>
              <w:pStyle w:val="Tabletext"/>
            </w:pPr>
            <w:r w:rsidRPr="003032A7">
              <w:t xml:space="preserve">IPO </w:t>
            </w:r>
            <w:r w:rsidR="00A3527A">
              <w:t xml:space="preserve">related </w:t>
            </w:r>
            <w:r w:rsidRPr="003032A7">
              <w:t>costs</w:t>
            </w:r>
          </w:p>
        </w:tc>
        <w:tc>
          <w:tcPr>
            <w:tcW w:w="932" w:type="dxa"/>
            <w:tcBorders>
              <w:top w:val="single" w:sz="4" w:space="0" w:color="93B7BB"/>
              <w:left w:val="nil"/>
              <w:bottom w:val="nil"/>
              <w:right w:val="nil"/>
            </w:tcBorders>
            <w:shd w:val="clear" w:color="auto" w:fill="EFF4F5"/>
            <w:vAlign w:val="bottom"/>
          </w:tcPr>
          <w:p w14:paraId="0E450556" w14:textId="5777E65E" w:rsidR="008128D4" w:rsidRPr="00A3527A" w:rsidRDefault="00A3527A" w:rsidP="003032A7">
            <w:pPr>
              <w:pStyle w:val="Tabletext"/>
              <w:jc w:val="right"/>
              <w:rPr>
                <w:b/>
              </w:rPr>
            </w:pPr>
            <w:r w:rsidRPr="00A3527A">
              <w:rPr>
                <w:b/>
              </w:rPr>
              <w:t>–</w:t>
            </w:r>
          </w:p>
        </w:tc>
        <w:tc>
          <w:tcPr>
            <w:tcW w:w="933" w:type="dxa"/>
            <w:tcBorders>
              <w:top w:val="single" w:sz="4" w:space="0" w:color="93B7BB"/>
              <w:left w:val="nil"/>
              <w:bottom w:val="nil"/>
              <w:right w:val="nil"/>
            </w:tcBorders>
            <w:vAlign w:val="bottom"/>
          </w:tcPr>
          <w:p w14:paraId="08EA5A4D" w14:textId="46A44D96" w:rsidR="008128D4" w:rsidRPr="008128D4" w:rsidRDefault="008128D4" w:rsidP="003032A7">
            <w:pPr>
              <w:pStyle w:val="Tabletext"/>
              <w:jc w:val="right"/>
            </w:pPr>
            <w:r w:rsidRPr="008128D4">
              <w:t>46.1</w:t>
            </w:r>
          </w:p>
        </w:tc>
      </w:tr>
      <w:tr w:rsidR="00A3527A" w:rsidRPr="009F2075" w14:paraId="533E8FCB" w14:textId="77777777" w:rsidTr="008128D4">
        <w:tc>
          <w:tcPr>
            <w:tcW w:w="7207" w:type="dxa"/>
            <w:tcBorders>
              <w:top w:val="nil"/>
              <w:left w:val="nil"/>
              <w:bottom w:val="nil"/>
              <w:right w:val="nil"/>
            </w:tcBorders>
          </w:tcPr>
          <w:p w14:paraId="0486C1CC" w14:textId="42D8AF48" w:rsidR="00A3527A" w:rsidRPr="003032A7" w:rsidRDefault="00A3527A" w:rsidP="003032A7">
            <w:pPr>
              <w:pStyle w:val="Tabletext"/>
            </w:pPr>
            <w:r w:rsidRPr="003032A7">
              <w:t>Business reorganisation</w:t>
            </w:r>
          </w:p>
        </w:tc>
        <w:tc>
          <w:tcPr>
            <w:tcW w:w="932" w:type="dxa"/>
            <w:tcBorders>
              <w:top w:val="nil"/>
              <w:left w:val="nil"/>
              <w:bottom w:val="nil"/>
              <w:right w:val="nil"/>
            </w:tcBorders>
            <w:shd w:val="clear" w:color="auto" w:fill="EFF4F5"/>
            <w:vAlign w:val="bottom"/>
          </w:tcPr>
          <w:p w14:paraId="40C5515A" w14:textId="0A72222B" w:rsidR="00A3527A" w:rsidRPr="003032A7" w:rsidRDefault="00A3527A" w:rsidP="003032A7">
            <w:pPr>
              <w:pStyle w:val="Tabletext"/>
              <w:jc w:val="right"/>
              <w:rPr>
                <w:b/>
              </w:rPr>
            </w:pPr>
            <w:r>
              <w:rPr>
                <w:b/>
              </w:rPr>
              <w:t>3.1</w:t>
            </w:r>
          </w:p>
        </w:tc>
        <w:tc>
          <w:tcPr>
            <w:tcW w:w="933" w:type="dxa"/>
            <w:tcBorders>
              <w:top w:val="nil"/>
              <w:left w:val="nil"/>
              <w:bottom w:val="nil"/>
              <w:right w:val="nil"/>
            </w:tcBorders>
            <w:vAlign w:val="bottom"/>
          </w:tcPr>
          <w:p w14:paraId="6CCEC3E8" w14:textId="579592E0" w:rsidR="00A3527A" w:rsidRPr="008128D4" w:rsidRDefault="00A3527A" w:rsidP="003032A7">
            <w:pPr>
              <w:pStyle w:val="Tabletext"/>
              <w:jc w:val="right"/>
            </w:pPr>
            <w:r>
              <w:t>3.9</w:t>
            </w:r>
          </w:p>
        </w:tc>
      </w:tr>
      <w:tr w:rsidR="008128D4" w:rsidRPr="009F2075" w14:paraId="11DE34B9" w14:textId="77777777" w:rsidTr="008128D4">
        <w:tc>
          <w:tcPr>
            <w:tcW w:w="7207" w:type="dxa"/>
            <w:tcBorders>
              <w:top w:val="nil"/>
              <w:left w:val="nil"/>
              <w:bottom w:val="nil"/>
              <w:right w:val="nil"/>
            </w:tcBorders>
          </w:tcPr>
          <w:p w14:paraId="35B658AA" w14:textId="5F87A196" w:rsidR="008128D4" w:rsidRPr="003032A7" w:rsidRDefault="00A3527A" w:rsidP="003032A7">
            <w:pPr>
              <w:pStyle w:val="Tabletext"/>
            </w:pPr>
            <w:r>
              <w:t>Hospital impairment</w:t>
            </w:r>
          </w:p>
        </w:tc>
        <w:tc>
          <w:tcPr>
            <w:tcW w:w="932" w:type="dxa"/>
            <w:tcBorders>
              <w:top w:val="nil"/>
              <w:left w:val="nil"/>
              <w:bottom w:val="nil"/>
              <w:right w:val="nil"/>
            </w:tcBorders>
            <w:shd w:val="clear" w:color="auto" w:fill="EFF4F5"/>
            <w:vAlign w:val="bottom"/>
          </w:tcPr>
          <w:p w14:paraId="2F74311C" w14:textId="103535B4" w:rsidR="008128D4" w:rsidRPr="003032A7" w:rsidRDefault="00A3527A" w:rsidP="003032A7">
            <w:pPr>
              <w:pStyle w:val="Tabletext"/>
              <w:jc w:val="right"/>
              <w:rPr>
                <w:b/>
              </w:rPr>
            </w:pPr>
            <w:r>
              <w:rPr>
                <w:b/>
              </w:rPr>
              <w:t>5.7</w:t>
            </w:r>
          </w:p>
        </w:tc>
        <w:tc>
          <w:tcPr>
            <w:tcW w:w="933" w:type="dxa"/>
            <w:tcBorders>
              <w:top w:val="nil"/>
              <w:left w:val="nil"/>
              <w:bottom w:val="nil"/>
              <w:right w:val="nil"/>
            </w:tcBorders>
            <w:vAlign w:val="bottom"/>
          </w:tcPr>
          <w:p w14:paraId="178CDBF0" w14:textId="1647C257" w:rsidR="008128D4" w:rsidRPr="008128D4" w:rsidRDefault="00A3527A" w:rsidP="003032A7">
            <w:pPr>
              <w:pStyle w:val="Tabletext"/>
              <w:jc w:val="right"/>
            </w:pPr>
            <w:r w:rsidRPr="008128D4">
              <w:t>–</w:t>
            </w:r>
          </w:p>
        </w:tc>
      </w:tr>
      <w:tr w:rsidR="008128D4" w:rsidRPr="009F2075" w14:paraId="64BD4222" w14:textId="77777777" w:rsidTr="008128D4">
        <w:tc>
          <w:tcPr>
            <w:tcW w:w="7207" w:type="dxa"/>
            <w:tcBorders>
              <w:top w:val="nil"/>
              <w:left w:val="nil"/>
              <w:bottom w:val="nil"/>
              <w:right w:val="nil"/>
            </w:tcBorders>
          </w:tcPr>
          <w:p w14:paraId="149948F8" w14:textId="1C58A817" w:rsidR="008128D4" w:rsidRPr="003032A7" w:rsidRDefault="00A3527A" w:rsidP="00A3527A">
            <w:pPr>
              <w:pStyle w:val="Tabletext"/>
            </w:pPr>
            <w:r>
              <w:t>Hospital closure</w:t>
            </w:r>
          </w:p>
        </w:tc>
        <w:tc>
          <w:tcPr>
            <w:tcW w:w="932" w:type="dxa"/>
            <w:tcBorders>
              <w:top w:val="nil"/>
              <w:left w:val="nil"/>
              <w:bottom w:val="nil"/>
              <w:right w:val="nil"/>
            </w:tcBorders>
            <w:shd w:val="clear" w:color="auto" w:fill="EFF4F5"/>
            <w:vAlign w:val="bottom"/>
          </w:tcPr>
          <w:p w14:paraId="57910891" w14:textId="6459E878" w:rsidR="008128D4" w:rsidRPr="003032A7" w:rsidRDefault="00A3527A" w:rsidP="003032A7">
            <w:pPr>
              <w:pStyle w:val="Tabletext"/>
              <w:jc w:val="right"/>
              <w:rPr>
                <w:b/>
              </w:rPr>
            </w:pPr>
            <w:r>
              <w:rPr>
                <w:b/>
              </w:rPr>
              <w:t>6.9</w:t>
            </w:r>
          </w:p>
        </w:tc>
        <w:tc>
          <w:tcPr>
            <w:tcW w:w="933" w:type="dxa"/>
            <w:tcBorders>
              <w:top w:val="nil"/>
              <w:left w:val="nil"/>
              <w:bottom w:val="nil"/>
              <w:right w:val="nil"/>
            </w:tcBorders>
            <w:vAlign w:val="bottom"/>
          </w:tcPr>
          <w:p w14:paraId="72027E89" w14:textId="71F7775D" w:rsidR="008128D4" w:rsidRPr="008128D4" w:rsidRDefault="008128D4" w:rsidP="003032A7">
            <w:pPr>
              <w:pStyle w:val="Tabletext"/>
              <w:jc w:val="right"/>
            </w:pPr>
            <w:r w:rsidRPr="008128D4">
              <w:t>–</w:t>
            </w:r>
          </w:p>
        </w:tc>
      </w:tr>
      <w:tr w:rsidR="008128D4" w:rsidRPr="009F2075" w14:paraId="08E789E3" w14:textId="77777777" w:rsidTr="008128D4">
        <w:tc>
          <w:tcPr>
            <w:tcW w:w="7207" w:type="dxa"/>
            <w:tcBorders>
              <w:top w:val="nil"/>
              <w:left w:val="nil"/>
              <w:bottom w:val="single" w:sz="2" w:space="0" w:color="93B7BB"/>
              <w:right w:val="nil"/>
            </w:tcBorders>
          </w:tcPr>
          <w:p w14:paraId="4B9EEFA3" w14:textId="77777777" w:rsidR="008128D4" w:rsidRPr="003032A7" w:rsidRDefault="008128D4" w:rsidP="003032A7">
            <w:pPr>
              <w:pStyle w:val="Tabletext"/>
            </w:pPr>
            <w:r w:rsidRPr="003032A7">
              <w:t>Regulatory</w:t>
            </w:r>
          </w:p>
        </w:tc>
        <w:tc>
          <w:tcPr>
            <w:tcW w:w="932" w:type="dxa"/>
            <w:tcBorders>
              <w:top w:val="nil"/>
              <w:left w:val="nil"/>
              <w:bottom w:val="single" w:sz="2" w:space="0" w:color="93B7BB"/>
              <w:right w:val="nil"/>
            </w:tcBorders>
            <w:shd w:val="clear" w:color="auto" w:fill="EFF4F5"/>
            <w:vAlign w:val="bottom"/>
          </w:tcPr>
          <w:p w14:paraId="2B5C1F86" w14:textId="59F7405F" w:rsidR="008128D4" w:rsidRPr="00A3527A" w:rsidRDefault="00A3527A" w:rsidP="003032A7">
            <w:pPr>
              <w:pStyle w:val="Tabletext"/>
              <w:jc w:val="right"/>
              <w:rPr>
                <w:b/>
              </w:rPr>
            </w:pPr>
            <w:r w:rsidRPr="00A3527A">
              <w:rPr>
                <w:b/>
              </w:rPr>
              <w:t>–</w:t>
            </w:r>
          </w:p>
        </w:tc>
        <w:tc>
          <w:tcPr>
            <w:tcW w:w="933" w:type="dxa"/>
            <w:tcBorders>
              <w:top w:val="nil"/>
              <w:left w:val="nil"/>
              <w:bottom w:val="single" w:sz="2" w:space="0" w:color="93B7BB"/>
              <w:right w:val="nil"/>
            </w:tcBorders>
            <w:vAlign w:val="bottom"/>
          </w:tcPr>
          <w:p w14:paraId="08323352" w14:textId="6B3556BA" w:rsidR="008128D4" w:rsidRPr="008128D4" w:rsidRDefault="008128D4" w:rsidP="003032A7">
            <w:pPr>
              <w:pStyle w:val="Tabletext"/>
              <w:jc w:val="right"/>
            </w:pPr>
            <w:r w:rsidRPr="008128D4">
              <w:t>4.0</w:t>
            </w:r>
          </w:p>
        </w:tc>
      </w:tr>
      <w:tr w:rsidR="008128D4" w:rsidRPr="009F2075" w14:paraId="072DBEE4" w14:textId="77777777" w:rsidTr="008128D4">
        <w:tc>
          <w:tcPr>
            <w:tcW w:w="7207" w:type="dxa"/>
            <w:tcBorders>
              <w:top w:val="single" w:sz="2" w:space="0" w:color="93B7BB"/>
              <w:left w:val="nil"/>
              <w:bottom w:val="single" w:sz="4" w:space="0" w:color="93B7BB"/>
              <w:right w:val="nil"/>
            </w:tcBorders>
          </w:tcPr>
          <w:p w14:paraId="35A18CAD" w14:textId="77777777" w:rsidR="008128D4" w:rsidRPr="003032A7" w:rsidRDefault="008128D4" w:rsidP="003032A7">
            <w:pPr>
              <w:pStyle w:val="Tabletext"/>
            </w:pPr>
            <w:r w:rsidRPr="003032A7">
              <w:t>Total</w:t>
            </w:r>
          </w:p>
        </w:tc>
        <w:tc>
          <w:tcPr>
            <w:tcW w:w="932" w:type="dxa"/>
            <w:tcBorders>
              <w:top w:val="single" w:sz="2" w:space="0" w:color="93B7BB"/>
              <w:left w:val="nil"/>
              <w:bottom w:val="single" w:sz="4" w:space="0" w:color="93B7BB"/>
              <w:right w:val="nil"/>
            </w:tcBorders>
            <w:shd w:val="clear" w:color="auto" w:fill="EFF4F5"/>
            <w:vAlign w:val="bottom"/>
          </w:tcPr>
          <w:p w14:paraId="119EA011" w14:textId="7D6D6243" w:rsidR="008128D4" w:rsidRPr="003032A7" w:rsidRDefault="00A3527A" w:rsidP="003032A7">
            <w:pPr>
              <w:pStyle w:val="Tabletext"/>
              <w:jc w:val="right"/>
              <w:rPr>
                <w:b/>
              </w:rPr>
            </w:pPr>
            <w:r>
              <w:rPr>
                <w:b/>
              </w:rPr>
              <w:t>15.7</w:t>
            </w:r>
          </w:p>
        </w:tc>
        <w:tc>
          <w:tcPr>
            <w:tcW w:w="933" w:type="dxa"/>
            <w:tcBorders>
              <w:top w:val="single" w:sz="2" w:space="0" w:color="93B7BB"/>
              <w:left w:val="nil"/>
              <w:bottom w:val="single" w:sz="4" w:space="0" w:color="93B7BB"/>
              <w:right w:val="nil"/>
            </w:tcBorders>
            <w:vAlign w:val="bottom"/>
          </w:tcPr>
          <w:p w14:paraId="0D6F7024" w14:textId="3D6E5570" w:rsidR="008128D4" w:rsidRPr="008128D4" w:rsidRDefault="008128D4" w:rsidP="003032A7">
            <w:pPr>
              <w:pStyle w:val="Tabletext"/>
              <w:jc w:val="right"/>
            </w:pPr>
            <w:r w:rsidRPr="008128D4">
              <w:t>54.0</w:t>
            </w:r>
          </w:p>
        </w:tc>
      </w:tr>
    </w:tbl>
    <w:p w14:paraId="0100F1F2" w14:textId="77777777" w:rsidR="0005191D" w:rsidRDefault="0005191D" w:rsidP="0005191D">
      <w:pPr>
        <w:pStyle w:val="Footnote"/>
      </w:pPr>
    </w:p>
    <w:p w14:paraId="1C4E7E79" w14:textId="42323339" w:rsidR="0005191D" w:rsidRPr="009F2075" w:rsidRDefault="0005191D" w:rsidP="00BB6FE0">
      <w:r w:rsidRPr="009F2075">
        <w:t xml:space="preserve">Full details of exceptional items are disclosed in note </w:t>
      </w:r>
      <w:r w:rsidR="00CA0C44">
        <w:t xml:space="preserve">7 </w:t>
      </w:r>
      <w:r w:rsidR="00CA0C44" w:rsidRPr="00CA0C44">
        <w:t>of this preliminary statement</w:t>
      </w:r>
      <w:r w:rsidRPr="009F2075">
        <w:t>.</w:t>
      </w:r>
    </w:p>
    <w:p w14:paraId="0A56AC39" w14:textId="77777777" w:rsidR="0005191D" w:rsidRPr="00B2361E" w:rsidRDefault="0005191D" w:rsidP="00B2361E">
      <w:pPr>
        <w:pStyle w:val="Heading3"/>
      </w:pPr>
      <w:r w:rsidRPr="00B2361E">
        <w:t>EBITDA AND ADJUSTED EBITDA</w:t>
      </w:r>
    </w:p>
    <w:p w14:paraId="3A19B187" w14:textId="7C06565F" w:rsidR="0005191D" w:rsidRPr="009F2075" w:rsidRDefault="0005191D" w:rsidP="008128D4">
      <w:pPr>
        <w:jc w:val="both"/>
      </w:pPr>
      <w:r w:rsidRPr="009F2075">
        <w:t>EBITDA for the year ended 31 December 201</w:t>
      </w:r>
      <w:r w:rsidR="005D1A1B">
        <w:t>5</w:t>
      </w:r>
      <w:r w:rsidRPr="009F2075">
        <w:t xml:space="preserve"> increased by </w:t>
      </w:r>
      <w:r w:rsidR="005D1A1B" w:rsidRPr="009F2075">
        <w:t>£</w:t>
      </w:r>
      <w:r w:rsidR="00A3527A">
        <w:t>0.9</w:t>
      </w:r>
      <w:r w:rsidR="005D1A1B">
        <w:t xml:space="preserve"> </w:t>
      </w:r>
      <w:r w:rsidRPr="009F2075">
        <w:t xml:space="preserve">million, or </w:t>
      </w:r>
      <w:r w:rsidR="00A3527A">
        <w:t>0.6</w:t>
      </w:r>
      <w:r w:rsidRPr="009F2075">
        <w:t>% from £15</w:t>
      </w:r>
      <w:r w:rsidR="005D1A1B">
        <w:t>9.2</w:t>
      </w:r>
      <w:r w:rsidRPr="009F2075">
        <w:t xml:space="preserve"> million to </w:t>
      </w:r>
      <w:r w:rsidR="005D1A1B" w:rsidRPr="009F2075">
        <w:t>£</w:t>
      </w:r>
      <w:r w:rsidR="00A3527A">
        <w:t>160.1</w:t>
      </w:r>
      <w:r w:rsidR="005D1A1B">
        <w:t xml:space="preserve"> </w:t>
      </w:r>
      <w:r w:rsidRPr="009F2075">
        <w:t xml:space="preserve">million. </w:t>
      </w:r>
      <w:r w:rsidR="005D1A1B">
        <w:t>After account is taken of the basis of differences between reported EBITDA results in 2015 versus 2014, a</w:t>
      </w:r>
      <w:r w:rsidR="005D1A1B" w:rsidRPr="009F2075">
        <w:t xml:space="preserve">djusted EBITDA increased by </w:t>
      </w:r>
      <w:r w:rsidR="00A3527A">
        <w:t>2.2</w:t>
      </w:r>
      <w:r w:rsidR="005D1A1B" w:rsidRPr="009F2075">
        <w:t>%</w:t>
      </w:r>
      <w:r w:rsidR="005D1A1B">
        <w:t>,</w:t>
      </w:r>
      <w:r w:rsidR="005D1A1B" w:rsidRPr="009F2075">
        <w:t xml:space="preserve"> from £</w:t>
      </w:r>
      <w:r w:rsidR="00A3527A">
        <w:t>156.7</w:t>
      </w:r>
      <w:r w:rsidR="005D1A1B">
        <w:t xml:space="preserve"> </w:t>
      </w:r>
      <w:r w:rsidR="005D1A1B" w:rsidRPr="009F2075">
        <w:t>million to £</w:t>
      </w:r>
      <w:r w:rsidR="00A3527A">
        <w:t>160.1</w:t>
      </w:r>
      <w:r w:rsidR="005D1A1B">
        <w:t xml:space="preserve"> million</w:t>
      </w:r>
      <w:r w:rsidRPr="009F2075">
        <w:t>.</w:t>
      </w:r>
    </w:p>
    <w:p w14:paraId="5EFF7372" w14:textId="77777777" w:rsidR="00A016D1" w:rsidRDefault="00A016D1">
      <w:pPr>
        <w:spacing w:after="160" w:line="259" w:lineRule="auto"/>
        <w:rPr>
          <w:rFonts w:asciiTheme="majorHAnsi" w:eastAsiaTheme="majorEastAsia" w:hAnsiTheme="majorHAnsi" w:cstheme="majorBidi"/>
          <w:b/>
          <w:caps/>
          <w:color w:val="93B6BB"/>
          <w:szCs w:val="24"/>
        </w:rPr>
      </w:pPr>
      <w:r>
        <w:br w:type="page"/>
      </w:r>
    </w:p>
    <w:p w14:paraId="06BC6DB0" w14:textId="7E10A10D" w:rsidR="0005191D" w:rsidRPr="009F2075" w:rsidRDefault="0005191D" w:rsidP="00B2361E">
      <w:pPr>
        <w:pStyle w:val="Heading3"/>
      </w:pPr>
      <w:r w:rsidRPr="009F2075">
        <w:lastRenderedPageBreak/>
        <w:t>OPERATING PROFITS BEFORE AND AFTER EXCEPTIONAL COSTS</w:t>
      </w:r>
    </w:p>
    <w:p w14:paraId="05C8A872" w14:textId="481AFCF2" w:rsidR="0005191D" w:rsidRPr="009F2075" w:rsidRDefault="0005191D" w:rsidP="008128D4">
      <w:pPr>
        <w:jc w:val="both"/>
      </w:pPr>
      <w:proofErr w:type="gramStart"/>
      <w:r w:rsidRPr="009F2075">
        <w:t>Operating p</w:t>
      </w:r>
      <w:r w:rsidR="00A03B45">
        <w:t>rofit after exceptional costs in</w:t>
      </w:r>
      <w:r w:rsidRPr="009F2075">
        <w:t xml:space="preserve">creased by </w:t>
      </w:r>
      <w:r w:rsidR="00A03B45">
        <w:t>58.9</w:t>
      </w:r>
      <w:r w:rsidRPr="009F2075">
        <w:t xml:space="preserve">% in the year to </w:t>
      </w:r>
      <w:r w:rsidR="00B9577E" w:rsidRPr="009F2075">
        <w:t>£</w:t>
      </w:r>
      <w:r w:rsidR="00A03B45">
        <w:t>95.5</w:t>
      </w:r>
      <w:r w:rsidR="00B9577E">
        <w:t xml:space="preserve"> </w:t>
      </w:r>
      <w:r w:rsidRPr="009F2075">
        <w:t>million.</w:t>
      </w:r>
      <w:proofErr w:type="gramEnd"/>
      <w:r w:rsidRPr="009F2075">
        <w:t xml:space="preserve"> Before exceptional costs, op</w:t>
      </w:r>
      <w:r w:rsidR="009B1B3C">
        <w:t xml:space="preserve">erating profits </w:t>
      </w:r>
      <w:r w:rsidR="00A03B45">
        <w:t>de</w:t>
      </w:r>
      <w:r w:rsidR="009B1B3C">
        <w:t xml:space="preserve">creased by </w:t>
      </w:r>
      <w:r w:rsidR="00A03B45">
        <w:t>2.5</w:t>
      </w:r>
      <w:r w:rsidRPr="009F2075">
        <w:t>%</w:t>
      </w:r>
      <w:r w:rsidR="00A11311">
        <w:t>,</w:t>
      </w:r>
      <w:r w:rsidRPr="009F2075">
        <w:t xml:space="preserve"> </w:t>
      </w:r>
      <w:r w:rsidR="00A03B45">
        <w:t>to</w:t>
      </w:r>
      <w:r w:rsidRPr="009F2075">
        <w:t xml:space="preserve"> </w:t>
      </w:r>
      <w:r w:rsidR="009B1B3C" w:rsidRPr="009F2075">
        <w:t>£11</w:t>
      </w:r>
      <w:r w:rsidR="00A03B45">
        <w:t>1</w:t>
      </w:r>
      <w:r w:rsidR="009B1B3C" w:rsidRPr="009F2075">
        <w:t>.</w:t>
      </w:r>
      <w:r w:rsidR="00A03B45">
        <w:t>2</w:t>
      </w:r>
      <w:r w:rsidRPr="009F2075">
        <w:t xml:space="preserve"> million </w:t>
      </w:r>
      <w:r w:rsidR="00A03B45">
        <w:t>(</w:t>
      </w:r>
      <w:r w:rsidRPr="009F2075">
        <w:t>201</w:t>
      </w:r>
      <w:r w:rsidR="009B1B3C">
        <w:t>4</w:t>
      </w:r>
      <w:r w:rsidR="00A03B45">
        <w:t>:</w:t>
      </w:r>
      <w:r w:rsidRPr="009F2075">
        <w:t xml:space="preserve"> £</w:t>
      </w:r>
      <w:r w:rsidR="00A03B45">
        <w:t>114.1</w:t>
      </w:r>
      <w:r w:rsidR="009B1B3C" w:rsidRPr="009F2075">
        <w:t xml:space="preserve"> </w:t>
      </w:r>
      <w:r w:rsidRPr="009F2075">
        <w:t>million</w:t>
      </w:r>
      <w:r w:rsidR="00A03B45">
        <w:t>)</w:t>
      </w:r>
      <w:r w:rsidR="00091A2D">
        <w:t>. After taking into consideration the basis of differences between 2015 versus 2014, adjusted operating pr</w:t>
      </w:r>
      <w:r w:rsidR="00A03B45">
        <w:t>ofit before exceptional costs de</w:t>
      </w:r>
      <w:r w:rsidR="00091A2D">
        <w:t xml:space="preserve">creased by </w:t>
      </w:r>
      <w:r w:rsidR="00A03B45">
        <w:t>0.4</w:t>
      </w:r>
      <w:r w:rsidR="00091A2D">
        <w:t>%, from £</w:t>
      </w:r>
      <w:r w:rsidR="00A03B45">
        <w:t>111.6</w:t>
      </w:r>
      <w:r w:rsidR="00091A2D">
        <w:t xml:space="preserve"> million to £</w:t>
      </w:r>
      <w:r w:rsidR="00A03B45">
        <w:t>111.2</w:t>
      </w:r>
      <w:r w:rsidR="00091A2D">
        <w:t xml:space="preserve"> million</w:t>
      </w:r>
      <w:r w:rsidRPr="009F2075">
        <w:t>.</w:t>
      </w:r>
    </w:p>
    <w:p w14:paraId="7DF2D708" w14:textId="77777777" w:rsidR="0005191D" w:rsidRPr="009F2075" w:rsidRDefault="0005191D" w:rsidP="00B2361E">
      <w:pPr>
        <w:pStyle w:val="Heading3"/>
      </w:pPr>
      <w:r w:rsidRPr="009F2075">
        <w:t>PROFIT ON DISPOSAL OF PROPERTY, PLANT AND EQUIPMENT</w:t>
      </w:r>
    </w:p>
    <w:p w14:paraId="683041E5" w14:textId="50847090" w:rsidR="0005191D" w:rsidRPr="009F2075" w:rsidRDefault="00C92B67" w:rsidP="008128D4">
      <w:pPr>
        <w:jc w:val="both"/>
      </w:pPr>
      <w:r w:rsidRPr="00B5001A">
        <w:t xml:space="preserve">The loss on disposal of </w:t>
      </w:r>
      <w:r w:rsidR="0015771A" w:rsidRPr="009F2075">
        <w:t>£</w:t>
      </w:r>
      <w:r w:rsidR="00640C01">
        <w:t>0.8</w:t>
      </w:r>
      <w:r w:rsidR="0015771A">
        <w:t xml:space="preserve"> </w:t>
      </w:r>
      <w:r w:rsidRPr="00B5001A">
        <w:t xml:space="preserve">million </w:t>
      </w:r>
      <w:r w:rsidR="0015771A" w:rsidRPr="009F2075">
        <w:t>for the year ended 31 December 201</w:t>
      </w:r>
      <w:r w:rsidR="0015771A">
        <w:t xml:space="preserve">5 </w:t>
      </w:r>
      <w:r w:rsidRPr="00B5001A">
        <w:t xml:space="preserve">relates principally to </w:t>
      </w:r>
      <w:r>
        <w:t>obsolete equipment</w:t>
      </w:r>
      <w:r w:rsidR="008701AC">
        <w:t>.</w:t>
      </w:r>
      <w:r w:rsidR="00D86315">
        <w:t xml:space="preserve"> </w:t>
      </w:r>
      <w:r w:rsidR="0005191D" w:rsidRPr="009F2075">
        <w:t xml:space="preserve">The profit in the prior year of </w:t>
      </w:r>
      <w:r w:rsidRPr="009F2075">
        <w:t xml:space="preserve">£18.5 million </w:t>
      </w:r>
      <w:r w:rsidR="0005191D" w:rsidRPr="009F2075">
        <w:t>relates principally to the</w:t>
      </w:r>
      <w:r>
        <w:t xml:space="preserve"> </w:t>
      </w:r>
      <w:r w:rsidRPr="009F2075">
        <w:t>sale</w:t>
      </w:r>
      <w:r w:rsidR="00A67CEB">
        <w:t xml:space="preserve">, subject to lease, </w:t>
      </w:r>
      <w:r w:rsidR="00A67CEB" w:rsidRPr="009F2075">
        <w:t xml:space="preserve">of </w:t>
      </w:r>
      <w:r w:rsidR="00A67CEB">
        <w:t xml:space="preserve">the </w:t>
      </w:r>
      <w:r w:rsidR="00A67CEB" w:rsidRPr="009F2075">
        <w:t>Spire Washington Hospital</w:t>
      </w:r>
      <w:r w:rsidR="0005191D" w:rsidRPr="009F2075">
        <w:t>.</w:t>
      </w:r>
    </w:p>
    <w:p w14:paraId="1E5CCEED" w14:textId="77777777" w:rsidR="0005191D" w:rsidRPr="009F2075" w:rsidRDefault="0005191D" w:rsidP="00B2361E">
      <w:pPr>
        <w:pStyle w:val="Heading3"/>
      </w:pPr>
      <w:r w:rsidRPr="009F2075">
        <w:t>FINANCE COSTS</w:t>
      </w:r>
    </w:p>
    <w:p w14:paraId="5A2AE671" w14:textId="01178F60" w:rsidR="00EF627F" w:rsidRDefault="00EF627F" w:rsidP="008128D4">
      <w:pPr>
        <w:jc w:val="both"/>
      </w:pPr>
      <w:r>
        <w:t xml:space="preserve">Finance costs in the </w:t>
      </w:r>
      <w:r w:rsidR="00BB5FEF">
        <w:t>prior</w:t>
      </w:r>
      <w:r>
        <w:t xml:space="preserve"> year include those incurred in respect of borrowings drawn under the capital structure of the Group prior to</w:t>
      </w:r>
      <w:r w:rsidRPr="00B54B49">
        <w:t xml:space="preserve"> </w:t>
      </w:r>
      <w:r w:rsidR="006D346C">
        <w:t>the listing on the London Stock Exchange (the “</w:t>
      </w:r>
      <w:r>
        <w:t>Admission</w:t>
      </w:r>
      <w:r w:rsidR="006D346C">
        <w:t>” or the “IPO”)</w:t>
      </w:r>
      <w:r>
        <w:t>. On Admission, indebtedness reduced significantly and, therefore, finance costs also reduced.</w:t>
      </w:r>
    </w:p>
    <w:p w14:paraId="33A19119" w14:textId="353E8CEB" w:rsidR="004A32AF" w:rsidRDefault="004A32AF" w:rsidP="008128D4">
      <w:pPr>
        <w:jc w:val="both"/>
      </w:pPr>
      <w:r>
        <w:t>Finance costs for the year ended 31 December 201</w:t>
      </w:r>
      <w:r w:rsidR="00BB5FEF">
        <w:t>5</w:t>
      </w:r>
      <w:r>
        <w:t xml:space="preserve"> totalled </w:t>
      </w:r>
      <w:r w:rsidR="00BB5FEF" w:rsidRPr="009F2075">
        <w:t>£</w:t>
      </w:r>
      <w:r w:rsidR="00640C01">
        <w:t>21.4</w:t>
      </w:r>
      <w:r w:rsidR="00BB5FEF">
        <w:t xml:space="preserve"> </w:t>
      </w:r>
      <w:r>
        <w:t xml:space="preserve">million, a reduction of </w:t>
      </w:r>
      <w:r w:rsidR="00BB5FEF" w:rsidRPr="009F2075">
        <w:t>£</w:t>
      </w:r>
      <w:r w:rsidR="00640C01">
        <w:t>64.5</w:t>
      </w:r>
      <w:r w:rsidR="00BB5FEF">
        <w:t xml:space="preserve"> </w:t>
      </w:r>
      <w:r>
        <w:t>million</w:t>
      </w:r>
      <w:r w:rsidR="00BB5FEF">
        <w:t>,</w:t>
      </w:r>
      <w:r>
        <w:t xml:space="preserve"> or </w:t>
      </w:r>
      <w:r w:rsidR="00640C01">
        <w:t>75.1</w:t>
      </w:r>
      <w:r>
        <w:t>%</w:t>
      </w:r>
      <w:r w:rsidR="00BB5FEF">
        <w:t>,</w:t>
      </w:r>
      <w:r>
        <w:t xml:space="preserve"> over the prior year. This reduction mainly comprise</w:t>
      </w:r>
      <w:r w:rsidR="00BB5FEF">
        <w:t>d</w:t>
      </w:r>
      <w:r>
        <w:t xml:space="preserve"> </w:t>
      </w:r>
      <w:r w:rsidR="00BB5FEF" w:rsidRPr="009F2075">
        <w:t>£</w:t>
      </w:r>
      <w:r w:rsidR="0087357C">
        <w:t>5</w:t>
      </w:r>
      <w:r w:rsidR="00640C01">
        <w:t>4</w:t>
      </w:r>
      <w:r w:rsidR="0087357C">
        <w:t>.</w:t>
      </w:r>
      <w:r w:rsidR="00640C01">
        <w:t>8</w:t>
      </w:r>
      <w:r w:rsidR="00BB5FEF">
        <w:t xml:space="preserve"> </w:t>
      </w:r>
      <w:r>
        <w:t>million of interest on shareholder debt and £</w:t>
      </w:r>
      <w:r w:rsidR="00640C01">
        <w:t>1</w:t>
      </w:r>
      <w:r>
        <w:t>3.</w:t>
      </w:r>
      <w:r w:rsidR="00640C01">
        <w:t>7</w:t>
      </w:r>
      <w:r>
        <w:t xml:space="preserve"> million on bank loans, net of the mark-to-market movement on interest rate swap in</w:t>
      </w:r>
      <w:r w:rsidR="00DC2BB3">
        <w:t>struments settled on Admission.</w:t>
      </w:r>
    </w:p>
    <w:p w14:paraId="655C3B2D" w14:textId="26B8C356" w:rsidR="0005191D" w:rsidRPr="009F2075" w:rsidRDefault="0005191D" w:rsidP="00B2361E">
      <w:pPr>
        <w:pStyle w:val="Heading3"/>
      </w:pPr>
      <w:r w:rsidRPr="009F2075">
        <w:t>TAXATION</w:t>
      </w:r>
    </w:p>
    <w:p w14:paraId="1E570FCE" w14:textId="137D5608" w:rsidR="00B511B2" w:rsidRDefault="00B511B2" w:rsidP="0087357C">
      <w:pPr>
        <w:jc w:val="both"/>
      </w:pPr>
      <w:r>
        <w:t>The taxation c</w:t>
      </w:r>
      <w:r w:rsidR="00470DAB">
        <w:t>ha</w:t>
      </w:r>
      <w:r>
        <w:t>r</w:t>
      </w:r>
      <w:r w:rsidR="00470DAB">
        <w:t>g</w:t>
      </w:r>
      <w:r>
        <w:t>e for the year ended 31 December 201</w:t>
      </w:r>
      <w:r w:rsidR="0087357C">
        <w:t>5</w:t>
      </w:r>
      <w:r>
        <w:t xml:space="preserve"> consisted of a </w:t>
      </w:r>
      <w:r w:rsidR="00894F45" w:rsidRPr="009F2075">
        <w:t>£</w:t>
      </w:r>
      <w:r w:rsidR="001C00D3">
        <w:t>7.9</w:t>
      </w:r>
      <w:r w:rsidR="00894F45">
        <w:t xml:space="preserve"> </w:t>
      </w:r>
      <w:r>
        <w:t>million c</w:t>
      </w:r>
      <w:r w:rsidR="001C00D3">
        <w:t>harge</w:t>
      </w:r>
      <w:r>
        <w:t xml:space="preserve"> for </w:t>
      </w:r>
      <w:r w:rsidR="001C00D3">
        <w:t xml:space="preserve">corporation tax </w:t>
      </w:r>
      <w:r>
        <w:t xml:space="preserve">and a charge of </w:t>
      </w:r>
      <w:r w:rsidR="00894F45" w:rsidRPr="009F2075">
        <w:t>£</w:t>
      </w:r>
      <w:r w:rsidR="001C00D3">
        <w:t>5.7</w:t>
      </w:r>
      <w:r w:rsidR="00894F45">
        <w:t xml:space="preserve"> </w:t>
      </w:r>
      <w:r>
        <w:t xml:space="preserve">million for </w:t>
      </w:r>
      <w:r w:rsidR="001C00D3">
        <w:t>deferred tax</w:t>
      </w:r>
      <w:r>
        <w:t>.</w:t>
      </w:r>
      <w:r w:rsidR="0087357C">
        <w:t xml:space="preserve"> </w:t>
      </w:r>
      <w:r w:rsidR="00D60207" w:rsidRPr="009F2075">
        <w:t>Before exceptional items,</w:t>
      </w:r>
      <w:r w:rsidR="00D60207">
        <w:t xml:space="preserve"> the effective tax rate for the year ended 31 December 2015 was </w:t>
      </w:r>
      <w:r w:rsidR="008E02D6">
        <w:t>18.3</w:t>
      </w:r>
      <w:r w:rsidR="00D60207">
        <w:t>%.</w:t>
      </w:r>
    </w:p>
    <w:p w14:paraId="3EE932FD" w14:textId="717B5C21" w:rsidR="00B511B2" w:rsidRDefault="006A20CD" w:rsidP="0087357C">
      <w:pPr>
        <w:jc w:val="both"/>
      </w:pPr>
      <w:r>
        <w:t>The taxation credit for the year ended 31 December 2014 consisted of a £0.7 million charge for corporation tax and a credit of £13.7 million for deferred tax. The UK corporation tax charge on 2014 profits was £nil, reflecting the significant allowable costs arising from the Admission, including the settlement of out-of-the-money interest rate swaps. The UK corporation tax charge in the income statement was an adjustment to prior years. The credit for deferred taxation for the year ended 31 December 2014 was £13.7 million, comprising deferred tax assets previously unrecognised, in relation to losses carried forward following the reorganisation of the Spire group into a single tax group.</w:t>
      </w:r>
      <w:r w:rsidRPr="00CC30AD">
        <w:t xml:space="preserve"> </w:t>
      </w:r>
      <w:r w:rsidRPr="009F2075">
        <w:t>Before exceptional items,</w:t>
      </w:r>
      <w:r>
        <w:t xml:space="preserve"> the effective tax rate for the year ended 31 December 2014 was 21.6%</w:t>
      </w:r>
      <w:r w:rsidR="00A11311">
        <w:t>.</w:t>
      </w:r>
    </w:p>
    <w:p w14:paraId="1355E6DC" w14:textId="77777777" w:rsidR="0005191D" w:rsidRPr="009F2075" w:rsidRDefault="0005191D" w:rsidP="00B2361E">
      <w:pPr>
        <w:pStyle w:val="Heading3"/>
      </w:pPr>
      <w:r w:rsidRPr="009F2075">
        <w:t>PROFIT AFTER TAXATION</w:t>
      </w:r>
    </w:p>
    <w:p w14:paraId="61863C51" w14:textId="0BC417DC" w:rsidR="00C7614C" w:rsidRDefault="00C7614C" w:rsidP="0087357C">
      <w:pPr>
        <w:jc w:val="both"/>
      </w:pPr>
      <w:r w:rsidRPr="00C7614C">
        <w:t>The profit after taxation for the year ended 31 December 201</w:t>
      </w:r>
      <w:r w:rsidR="006C34A9">
        <w:t>5</w:t>
      </w:r>
      <w:r w:rsidRPr="00C7614C">
        <w:t xml:space="preserve"> was </w:t>
      </w:r>
      <w:r w:rsidR="006C34A9" w:rsidRPr="009F2075">
        <w:t>£</w:t>
      </w:r>
      <w:r w:rsidR="006A20CD">
        <w:t>60.0</w:t>
      </w:r>
      <w:r w:rsidR="006C34A9">
        <w:t xml:space="preserve"> </w:t>
      </w:r>
      <w:r w:rsidRPr="00C7614C">
        <w:t>million</w:t>
      </w:r>
      <w:r w:rsidR="00A11311">
        <w:t>,</w:t>
      </w:r>
      <w:r w:rsidRPr="00C7614C">
        <w:t xml:space="preserve"> compared with a profit after taxation for the year ended 31 December 201</w:t>
      </w:r>
      <w:r w:rsidR="006C34A9">
        <w:t>4</w:t>
      </w:r>
      <w:r w:rsidRPr="00C7614C">
        <w:t xml:space="preserve"> of £</w:t>
      </w:r>
      <w:r w:rsidR="008D718D">
        <w:t>6.</w:t>
      </w:r>
      <w:r w:rsidRPr="00C7614C">
        <w:t xml:space="preserve">0 million. </w:t>
      </w:r>
      <w:r w:rsidR="008D718D" w:rsidRPr="00C7614C">
        <w:t xml:space="preserve">The </w:t>
      </w:r>
      <w:r w:rsidR="008D718D">
        <w:t xml:space="preserve">capital restructuring of the Group on Admission </w:t>
      </w:r>
      <w:r w:rsidR="008D718D" w:rsidRPr="00C7614C">
        <w:t xml:space="preserve">substantially </w:t>
      </w:r>
      <w:r w:rsidR="008D718D">
        <w:t xml:space="preserve">reduced finance costs, contributing </w:t>
      </w:r>
      <w:r w:rsidR="008D718D" w:rsidRPr="009F2075">
        <w:t>£</w:t>
      </w:r>
      <w:r w:rsidR="006A20CD">
        <w:t>64.5</w:t>
      </w:r>
      <w:r w:rsidR="008D718D">
        <w:t xml:space="preserve"> million</w:t>
      </w:r>
      <w:r w:rsidR="008D718D" w:rsidRPr="00C7614C">
        <w:t xml:space="preserve"> to the</w:t>
      </w:r>
      <w:r w:rsidR="008D718D">
        <w:t xml:space="preserve"> increase in profit after tax in the </w:t>
      </w:r>
      <w:r w:rsidR="007E4965">
        <w:t>year</w:t>
      </w:r>
      <w:r w:rsidRPr="00C7614C">
        <w:t>.</w:t>
      </w:r>
    </w:p>
    <w:p w14:paraId="63CB978E" w14:textId="77777777" w:rsidR="00A016D1" w:rsidRDefault="00A016D1">
      <w:pPr>
        <w:spacing w:after="160" w:line="259" w:lineRule="auto"/>
        <w:rPr>
          <w:rFonts w:asciiTheme="majorHAnsi" w:eastAsiaTheme="majorEastAsia" w:hAnsiTheme="majorHAnsi" w:cstheme="majorBidi"/>
          <w:b/>
          <w:caps/>
          <w:color w:val="93B6BB"/>
          <w:szCs w:val="24"/>
        </w:rPr>
      </w:pPr>
      <w:r>
        <w:br w:type="page"/>
      </w:r>
    </w:p>
    <w:p w14:paraId="1E6C0DB3" w14:textId="08FCC2D8" w:rsidR="0005191D" w:rsidRPr="009F2075" w:rsidRDefault="00FE257E" w:rsidP="00B2361E">
      <w:pPr>
        <w:pStyle w:val="Heading3"/>
      </w:pPr>
      <w:r>
        <w:lastRenderedPageBreak/>
        <w:t>PRO-FORMA FINANCIAL INFORMATION</w:t>
      </w:r>
    </w:p>
    <w:p w14:paraId="00A69A37" w14:textId="339522F6" w:rsidR="00FE257E" w:rsidRDefault="00FE257E" w:rsidP="001250C9">
      <w:pPr>
        <w:jc w:val="both"/>
      </w:pPr>
      <w:r w:rsidRPr="00DC157A">
        <w:t>The pro-forma financial information set out below</w:t>
      </w:r>
      <w:r>
        <w:t>, as presented in the Group’s Annual Report and Accounts for the year ended 31 December 2014,</w:t>
      </w:r>
      <w:r w:rsidRPr="00DC157A">
        <w:t xml:space="preserve"> </w:t>
      </w:r>
      <w:r>
        <w:t>was</w:t>
      </w:r>
      <w:r w:rsidRPr="00DC157A">
        <w:t xml:space="preserve"> prepared to illustrate the effect of the IPO on </w:t>
      </w:r>
      <w:r w:rsidRPr="00184CFD">
        <w:t xml:space="preserve">pro-forma </w:t>
      </w:r>
      <w:r>
        <w:t>profit after tax</w:t>
      </w:r>
      <w:r w:rsidRPr="00DC157A">
        <w:t>. Th</w:t>
      </w:r>
      <w:r>
        <w:t>i</w:t>
      </w:r>
      <w:r w:rsidRPr="00DC157A">
        <w:t>s statement</w:t>
      </w:r>
      <w:r>
        <w:t xml:space="preserve"> wa</w:t>
      </w:r>
      <w:r w:rsidRPr="00DC157A">
        <w:t>s prepared for illustrative purposes only and d</w:t>
      </w:r>
      <w:r>
        <w:t>id</w:t>
      </w:r>
      <w:r w:rsidRPr="00DC157A">
        <w:t xml:space="preserve"> not represent the Group’s actual earnings. The information </w:t>
      </w:r>
      <w:r>
        <w:t>wa</w:t>
      </w:r>
      <w:r w:rsidRPr="00DC157A">
        <w:t>s prepared on a basis consistent with the accounting policies of the Group and as described in the notes set out below</w:t>
      </w:r>
      <w:r>
        <w:t>.</w:t>
      </w:r>
    </w:p>
    <w:p w14:paraId="7579E3C1" w14:textId="6FA12AB8" w:rsidR="00AD22CC" w:rsidRPr="00B2361E" w:rsidRDefault="00AD22CC" w:rsidP="00AD22CC">
      <w:pPr>
        <w:pStyle w:val="Heading4"/>
      </w:pPr>
      <w:r>
        <w:t>PRO-FORMA PROFIT AFTER TAX AND EARNINGS PER SHARE</w:t>
      </w:r>
    </w:p>
    <w:p w14:paraId="40437366" w14:textId="64530BC9" w:rsidR="00E16225" w:rsidRDefault="00E16225" w:rsidP="001250C9">
      <w:pPr>
        <w:jc w:val="both"/>
      </w:pPr>
      <w:r w:rsidRPr="00782DAC">
        <w:t xml:space="preserve">The </w:t>
      </w:r>
      <w:r>
        <w:t xml:space="preserve">prior year’s </w:t>
      </w:r>
      <w:r w:rsidRPr="00782DAC">
        <w:t xml:space="preserve">income statement for the </w:t>
      </w:r>
      <w:r w:rsidR="008A5B71">
        <w:t xml:space="preserve">year ended </w:t>
      </w:r>
      <w:r w:rsidRPr="00782DAC">
        <w:t>3</w:t>
      </w:r>
      <w:r w:rsidR="008A5B71">
        <w:t>1</w:t>
      </w:r>
      <w:r w:rsidRPr="00782DAC">
        <w:t xml:space="preserve"> </w:t>
      </w:r>
      <w:r w:rsidR="008A5B71">
        <w:t>December</w:t>
      </w:r>
      <w:r w:rsidRPr="00782DAC">
        <w:t xml:space="preserve"> 2014 included </w:t>
      </w:r>
      <w:r>
        <w:t xml:space="preserve">finance costs that related to debt which was settled on Admission on 23 July 2014, </w:t>
      </w:r>
      <w:r w:rsidR="00CC5481" w:rsidRPr="00184CFD">
        <w:t xml:space="preserve">reducing the borrowings outstanding on that date and finance costs that </w:t>
      </w:r>
      <w:r w:rsidR="00CC5481">
        <w:t xml:space="preserve">will </w:t>
      </w:r>
      <w:r w:rsidR="00CC5481" w:rsidRPr="00184CFD">
        <w:t>ar</w:t>
      </w:r>
      <w:r w:rsidR="00CC5481">
        <w:t>i</w:t>
      </w:r>
      <w:r w:rsidR="00CC5481" w:rsidRPr="00184CFD">
        <w:t>se in future periods</w:t>
      </w:r>
      <w:r>
        <w:t>.</w:t>
      </w:r>
      <w:r w:rsidR="00CC5481">
        <w:t xml:space="preserve"> </w:t>
      </w:r>
      <w:r w:rsidR="00961020" w:rsidRPr="00184CFD">
        <w:t xml:space="preserve">Therefore, </w:t>
      </w:r>
      <w:r w:rsidR="00961020">
        <w:t xml:space="preserve">profit after tax </w:t>
      </w:r>
      <w:r w:rsidR="00961020" w:rsidRPr="00184CFD">
        <w:t>is presented below on a pro-forma basis, under which finance costs are restated as if the Group had been refinanced on 1 January 2014. In ad</w:t>
      </w:r>
      <w:r w:rsidR="00961020">
        <w:t xml:space="preserve">dition, adjustments are made to include the overhead costs associated with operating as a listed company and to remove the impact of </w:t>
      </w:r>
      <w:r w:rsidR="00961020" w:rsidRPr="00184CFD">
        <w:t>a number of other significant non-recurring items</w:t>
      </w:r>
      <w:r w:rsidR="00961020">
        <w:t>.</w:t>
      </w:r>
    </w:p>
    <w:tbl>
      <w:tblPr>
        <w:tblW w:w="9072" w:type="dxa"/>
        <w:tblLayout w:type="fixed"/>
        <w:tblCellMar>
          <w:left w:w="0" w:type="dxa"/>
          <w:right w:w="57" w:type="dxa"/>
        </w:tblCellMar>
        <w:tblLook w:val="0000" w:firstRow="0" w:lastRow="0" w:firstColumn="0" w:lastColumn="0" w:noHBand="0" w:noVBand="0"/>
      </w:tblPr>
      <w:tblGrid>
        <w:gridCol w:w="6946"/>
        <w:gridCol w:w="1063"/>
        <w:gridCol w:w="1063"/>
      </w:tblGrid>
      <w:tr w:rsidR="00961020" w:rsidRPr="009F2075" w14:paraId="09859707" w14:textId="77777777" w:rsidTr="00D8071B">
        <w:tc>
          <w:tcPr>
            <w:tcW w:w="6946" w:type="dxa"/>
            <w:tcBorders>
              <w:left w:val="nil"/>
              <w:right w:val="nil"/>
            </w:tcBorders>
            <w:shd w:val="clear" w:color="auto" w:fill="auto"/>
            <w:vAlign w:val="bottom"/>
          </w:tcPr>
          <w:p w14:paraId="1A3CD0A8" w14:textId="77777777" w:rsidR="00961020" w:rsidRPr="003032A7" w:rsidRDefault="00961020" w:rsidP="00A3500D">
            <w:pPr>
              <w:pStyle w:val="Tableheading"/>
            </w:pPr>
          </w:p>
        </w:tc>
        <w:tc>
          <w:tcPr>
            <w:tcW w:w="2126" w:type="dxa"/>
            <w:gridSpan w:val="2"/>
            <w:tcBorders>
              <w:left w:val="nil"/>
              <w:right w:val="nil"/>
            </w:tcBorders>
            <w:shd w:val="clear" w:color="auto" w:fill="auto"/>
            <w:vAlign w:val="bottom"/>
          </w:tcPr>
          <w:p w14:paraId="4B294695" w14:textId="36FCEBD3" w:rsidR="00961020" w:rsidRPr="003032A7" w:rsidRDefault="00961020" w:rsidP="00961020">
            <w:pPr>
              <w:pStyle w:val="Tableheading"/>
              <w:jc w:val="center"/>
            </w:pPr>
            <w:r>
              <w:t>Year ended 31 December</w:t>
            </w:r>
          </w:p>
        </w:tc>
      </w:tr>
      <w:tr w:rsidR="00961020" w:rsidRPr="009F2075" w14:paraId="4BDBE963" w14:textId="77777777" w:rsidTr="00D8071B">
        <w:tc>
          <w:tcPr>
            <w:tcW w:w="6946" w:type="dxa"/>
            <w:tcBorders>
              <w:left w:val="nil"/>
              <w:bottom w:val="single" w:sz="4" w:space="0" w:color="93B7BB"/>
              <w:right w:val="nil"/>
            </w:tcBorders>
            <w:shd w:val="clear" w:color="auto" w:fill="auto"/>
            <w:vAlign w:val="bottom"/>
          </w:tcPr>
          <w:p w14:paraId="62D0F9EC" w14:textId="77777777" w:rsidR="00961020" w:rsidRPr="005846D1" w:rsidRDefault="00961020" w:rsidP="00A3500D">
            <w:pPr>
              <w:pStyle w:val="Tableheading"/>
              <w:rPr>
                <w:b/>
              </w:rPr>
            </w:pPr>
            <w:r w:rsidRPr="005846D1">
              <w:rPr>
                <w:b/>
              </w:rPr>
              <w:t>(£ million)</w:t>
            </w:r>
          </w:p>
        </w:tc>
        <w:tc>
          <w:tcPr>
            <w:tcW w:w="1063" w:type="dxa"/>
            <w:tcBorders>
              <w:left w:val="nil"/>
              <w:bottom w:val="single" w:sz="4" w:space="0" w:color="93B7BB"/>
              <w:right w:val="nil"/>
            </w:tcBorders>
            <w:shd w:val="clear" w:color="auto" w:fill="auto"/>
            <w:vAlign w:val="bottom"/>
          </w:tcPr>
          <w:p w14:paraId="0610B0A0" w14:textId="77777777" w:rsidR="00961020" w:rsidRPr="003032A7" w:rsidRDefault="00961020" w:rsidP="00A3500D">
            <w:pPr>
              <w:pStyle w:val="Tableheading"/>
              <w:jc w:val="right"/>
              <w:rPr>
                <w:b/>
              </w:rPr>
            </w:pPr>
            <w:r w:rsidRPr="003032A7">
              <w:rPr>
                <w:b/>
              </w:rPr>
              <w:t>201</w:t>
            </w:r>
            <w:r>
              <w:rPr>
                <w:b/>
              </w:rPr>
              <w:t>5</w:t>
            </w:r>
          </w:p>
        </w:tc>
        <w:tc>
          <w:tcPr>
            <w:tcW w:w="1063" w:type="dxa"/>
            <w:tcBorders>
              <w:left w:val="nil"/>
              <w:bottom w:val="single" w:sz="4" w:space="0" w:color="93B7BB"/>
              <w:right w:val="nil"/>
            </w:tcBorders>
            <w:shd w:val="clear" w:color="auto" w:fill="auto"/>
            <w:vAlign w:val="bottom"/>
          </w:tcPr>
          <w:p w14:paraId="49548E17" w14:textId="77777777" w:rsidR="00961020" w:rsidRPr="003032A7" w:rsidRDefault="00961020" w:rsidP="00A3500D">
            <w:pPr>
              <w:pStyle w:val="Tableheading"/>
              <w:jc w:val="right"/>
            </w:pPr>
            <w:r w:rsidRPr="003032A7">
              <w:t>201</w:t>
            </w:r>
            <w:r>
              <w:t>4</w:t>
            </w:r>
          </w:p>
        </w:tc>
      </w:tr>
      <w:tr w:rsidR="00961020" w:rsidRPr="009F2075" w14:paraId="126ADAF2" w14:textId="77777777" w:rsidTr="00D8071B">
        <w:tc>
          <w:tcPr>
            <w:tcW w:w="6946" w:type="dxa"/>
            <w:tcBorders>
              <w:top w:val="single" w:sz="4" w:space="0" w:color="93B7BB"/>
              <w:left w:val="nil"/>
              <w:bottom w:val="nil"/>
              <w:right w:val="nil"/>
            </w:tcBorders>
          </w:tcPr>
          <w:p w14:paraId="4E955D6C" w14:textId="0191D266" w:rsidR="00961020" w:rsidRPr="003032A7" w:rsidRDefault="00961020" w:rsidP="00961020">
            <w:pPr>
              <w:pStyle w:val="Tabletext"/>
            </w:pPr>
            <w:r w:rsidRPr="00B626AD">
              <w:t xml:space="preserve">Profit </w:t>
            </w:r>
            <w:r>
              <w:t>/ (loss) before taxation</w:t>
            </w:r>
          </w:p>
        </w:tc>
        <w:tc>
          <w:tcPr>
            <w:tcW w:w="1063" w:type="dxa"/>
            <w:tcBorders>
              <w:top w:val="single" w:sz="4" w:space="0" w:color="93B7BB"/>
              <w:left w:val="nil"/>
              <w:bottom w:val="nil"/>
              <w:right w:val="nil"/>
            </w:tcBorders>
            <w:shd w:val="clear" w:color="auto" w:fill="EFF4F5"/>
            <w:vAlign w:val="bottom"/>
          </w:tcPr>
          <w:p w14:paraId="532DC5A2" w14:textId="5F2734EF" w:rsidR="00961020" w:rsidRPr="003032A7" w:rsidRDefault="00A016D1" w:rsidP="00A3500D">
            <w:pPr>
              <w:pStyle w:val="Tabletext"/>
              <w:jc w:val="right"/>
              <w:rPr>
                <w:b/>
              </w:rPr>
            </w:pPr>
            <w:r>
              <w:rPr>
                <w:b/>
              </w:rPr>
              <w:t>73.6</w:t>
            </w:r>
          </w:p>
        </w:tc>
        <w:tc>
          <w:tcPr>
            <w:tcW w:w="1063" w:type="dxa"/>
            <w:tcBorders>
              <w:top w:val="single" w:sz="4" w:space="0" w:color="93B7BB"/>
              <w:left w:val="nil"/>
              <w:bottom w:val="nil"/>
              <w:right w:val="nil"/>
            </w:tcBorders>
            <w:vAlign w:val="bottom"/>
          </w:tcPr>
          <w:p w14:paraId="1E03CA0B" w14:textId="7F493978" w:rsidR="00961020" w:rsidRPr="008128D4" w:rsidRDefault="006518BD" w:rsidP="006518BD">
            <w:pPr>
              <w:pStyle w:val="Tabletext"/>
              <w:jc w:val="right"/>
            </w:pPr>
            <w:r>
              <w:t>(7</w:t>
            </w:r>
            <w:r w:rsidR="00961020" w:rsidRPr="008128D4">
              <w:t>.</w:t>
            </w:r>
            <w:r>
              <w:t>0)</w:t>
            </w:r>
          </w:p>
        </w:tc>
      </w:tr>
      <w:tr w:rsidR="00961020" w:rsidRPr="009F2075" w14:paraId="7E666275" w14:textId="77777777" w:rsidTr="00D8071B">
        <w:tc>
          <w:tcPr>
            <w:tcW w:w="6946" w:type="dxa"/>
            <w:tcBorders>
              <w:top w:val="nil"/>
              <w:left w:val="nil"/>
              <w:bottom w:val="nil"/>
              <w:right w:val="nil"/>
            </w:tcBorders>
          </w:tcPr>
          <w:p w14:paraId="285E2C50" w14:textId="550B4CB6" w:rsidR="00961020" w:rsidRPr="003032A7" w:rsidRDefault="0065399F" w:rsidP="00A3500D">
            <w:pPr>
              <w:pStyle w:val="Tabletext"/>
            </w:pPr>
            <w:r>
              <w:t>Operating adjustments:</w:t>
            </w:r>
          </w:p>
        </w:tc>
        <w:tc>
          <w:tcPr>
            <w:tcW w:w="1063" w:type="dxa"/>
            <w:tcBorders>
              <w:top w:val="nil"/>
              <w:left w:val="nil"/>
              <w:bottom w:val="nil"/>
              <w:right w:val="nil"/>
            </w:tcBorders>
            <w:shd w:val="clear" w:color="auto" w:fill="EFF4F5"/>
            <w:vAlign w:val="bottom"/>
          </w:tcPr>
          <w:p w14:paraId="3FD6CDF5" w14:textId="77777777" w:rsidR="00961020" w:rsidRPr="003032A7" w:rsidRDefault="00961020" w:rsidP="00A3500D">
            <w:pPr>
              <w:pStyle w:val="Tabletext"/>
              <w:jc w:val="right"/>
              <w:rPr>
                <w:b/>
              </w:rPr>
            </w:pPr>
          </w:p>
        </w:tc>
        <w:tc>
          <w:tcPr>
            <w:tcW w:w="1063" w:type="dxa"/>
            <w:tcBorders>
              <w:top w:val="nil"/>
              <w:left w:val="nil"/>
              <w:bottom w:val="nil"/>
              <w:right w:val="nil"/>
            </w:tcBorders>
            <w:vAlign w:val="bottom"/>
          </w:tcPr>
          <w:p w14:paraId="2EA80220" w14:textId="0A46DB43" w:rsidR="00961020" w:rsidRPr="008128D4" w:rsidRDefault="00961020" w:rsidP="00A3500D">
            <w:pPr>
              <w:pStyle w:val="Tabletext"/>
              <w:jc w:val="right"/>
            </w:pPr>
          </w:p>
        </w:tc>
      </w:tr>
      <w:tr w:rsidR="005846D1" w:rsidRPr="009F2075" w14:paraId="3A5F9A8B" w14:textId="77777777" w:rsidTr="00D8071B">
        <w:tc>
          <w:tcPr>
            <w:tcW w:w="6946" w:type="dxa"/>
            <w:tcBorders>
              <w:top w:val="nil"/>
              <w:left w:val="nil"/>
              <w:bottom w:val="nil"/>
              <w:right w:val="nil"/>
            </w:tcBorders>
          </w:tcPr>
          <w:p w14:paraId="38DC24BB" w14:textId="538920A9" w:rsidR="005846D1" w:rsidRPr="003032A7" w:rsidRDefault="005846D1" w:rsidP="00A3500D">
            <w:pPr>
              <w:pStyle w:val="Tabletext"/>
            </w:pPr>
            <w:r w:rsidRPr="00BB6FE0">
              <w:rPr>
                <w:spacing w:val="-5"/>
              </w:rPr>
              <w:t>E</w:t>
            </w:r>
            <w:r w:rsidRPr="00BB6FE0">
              <w:t>x</w:t>
            </w:r>
            <w:r w:rsidRPr="00BB6FE0">
              <w:rPr>
                <w:spacing w:val="-5"/>
              </w:rPr>
              <w:t>ce</w:t>
            </w:r>
            <w:r w:rsidRPr="00BB6FE0">
              <w:t>ptional</w:t>
            </w:r>
            <w:r w:rsidRPr="00BB6FE0">
              <w:rPr>
                <w:spacing w:val="1"/>
              </w:rPr>
              <w:t xml:space="preserve"> </w:t>
            </w:r>
            <w:r w:rsidRPr="00BB6FE0">
              <w:t>it</w:t>
            </w:r>
            <w:r w:rsidRPr="00BB6FE0">
              <w:rPr>
                <w:spacing w:val="-5"/>
              </w:rPr>
              <w:t>e</w:t>
            </w:r>
            <w:r w:rsidRPr="00BB6FE0">
              <w:t>ms</w:t>
            </w:r>
            <w:r w:rsidRPr="00BB6FE0">
              <w:rPr>
                <w:spacing w:val="1"/>
              </w:rPr>
              <w:t xml:space="preserve"> </w:t>
            </w:r>
            <w:r w:rsidRPr="00BB6FE0">
              <w:t>–</w:t>
            </w:r>
            <w:r w:rsidRPr="00BB6FE0">
              <w:rPr>
                <w:spacing w:val="1"/>
              </w:rPr>
              <w:t xml:space="preserve"> </w:t>
            </w:r>
            <w:r w:rsidRPr="00BB6FE0">
              <w:rPr>
                <w:spacing w:val="-3"/>
              </w:rPr>
              <w:t>IP</w:t>
            </w:r>
            <w:r w:rsidRPr="00BB6FE0">
              <w:t>O</w:t>
            </w:r>
          </w:p>
        </w:tc>
        <w:tc>
          <w:tcPr>
            <w:tcW w:w="1063" w:type="dxa"/>
            <w:tcBorders>
              <w:top w:val="nil"/>
              <w:left w:val="nil"/>
              <w:bottom w:val="nil"/>
              <w:right w:val="nil"/>
            </w:tcBorders>
            <w:shd w:val="clear" w:color="auto" w:fill="EFF4F5"/>
            <w:vAlign w:val="bottom"/>
          </w:tcPr>
          <w:p w14:paraId="7079E815" w14:textId="63DCDD1E" w:rsidR="005846D1" w:rsidRPr="00A016D1" w:rsidRDefault="00A016D1" w:rsidP="00A3500D">
            <w:pPr>
              <w:pStyle w:val="Tabletext"/>
              <w:jc w:val="right"/>
              <w:rPr>
                <w:b/>
              </w:rPr>
            </w:pPr>
            <w:r w:rsidRPr="00A016D1">
              <w:rPr>
                <w:b/>
              </w:rPr>
              <w:t>–</w:t>
            </w:r>
          </w:p>
        </w:tc>
        <w:tc>
          <w:tcPr>
            <w:tcW w:w="1063" w:type="dxa"/>
            <w:tcBorders>
              <w:top w:val="nil"/>
              <w:left w:val="nil"/>
              <w:bottom w:val="nil"/>
              <w:right w:val="nil"/>
            </w:tcBorders>
            <w:vAlign w:val="bottom"/>
          </w:tcPr>
          <w:p w14:paraId="0FC958C8" w14:textId="3C4EDA65" w:rsidR="005846D1" w:rsidRPr="006518BD" w:rsidRDefault="005846D1" w:rsidP="00A3500D">
            <w:pPr>
              <w:pStyle w:val="Tabletext"/>
              <w:jc w:val="right"/>
            </w:pPr>
            <w:r>
              <w:t>46.1</w:t>
            </w:r>
          </w:p>
        </w:tc>
      </w:tr>
      <w:tr w:rsidR="005846D1" w:rsidRPr="009F2075" w14:paraId="142FCE32" w14:textId="77777777" w:rsidTr="00D8071B">
        <w:tc>
          <w:tcPr>
            <w:tcW w:w="6946" w:type="dxa"/>
            <w:tcBorders>
              <w:top w:val="nil"/>
              <w:left w:val="nil"/>
              <w:bottom w:val="nil"/>
              <w:right w:val="nil"/>
            </w:tcBorders>
          </w:tcPr>
          <w:p w14:paraId="6F385A82" w14:textId="4ED9EF9A" w:rsidR="005846D1" w:rsidRPr="00BB6FE0" w:rsidRDefault="005846D1" w:rsidP="00A3500D">
            <w:pPr>
              <w:pStyle w:val="Tabletext"/>
              <w:rPr>
                <w:spacing w:val="-5"/>
              </w:rPr>
            </w:pPr>
            <w:r w:rsidRPr="00BB6FE0">
              <w:rPr>
                <w:spacing w:val="-5"/>
              </w:rPr>
              <w:t>E</w:t>
            </w:r>
            <w:r w:rsidRPr="00BB6FE0">
              <w:t>x</w:t>
            </w:r>
            <w:r w:rsidRPr="00BB6FE0">
              <w:rPr>
                <w:spacing w:val="-5"/>
              </w:rPr>
              <w:t>cep</w:t>
            </w:r>
            <w:r w:rsidRPr="00BB6FE0">
              <w:t>ti</w:t>
            </w:r>
            <w:r w:rsidRPr="00BB6FE0">
              <w:rPr>
                <w:spacing w:val="-5"/>
              </w:rPr>
              <w:t>o</w:t>
            </w:r>
            <w:r w:rsidRPr="00BB6FE0">
              <w:t>nal</w:t>
            </w:r>
            <w:r w:rsidRPr="00BB6FE0">
              <w:rPr>
                <w:spacing w:val="1"/>
              </w:rPr>
              <w:t xml:space="preserve"> </w:t>
            </w:r>
            <w:r w:rsidRPr="00BB6FE0">
              <w:t>items</w:t>
            </w:r>
            <w:r w:rsidRPr="00BB6FE0">
              <w:rPr>
                <w:spacing w:val="2"/>
              </w:rPr>
              <w:t xml:space="preserve"> </w:t>
            </w:r>
            <w:r w:rsidRPr="00BB6FE0">
              <w:t>–</w:t>
            </w:r>
            <w:r w:rsidRPr="00BB6FE0">
              <w:rPr>
                <w:spacing w:val="2"/>
              </w:rPr>
              <w:t xml:space="preserve"> </w:t>
            </w:r>
            <w:r w:rsidRPr="00BB6FE0">
              <w:rPr>
                <w:spacing w:val="-6"/>
              </w:rPr>
              <w:t>o</w:t>
            </w:r>
            <w:r w:rsidRPr="00BB6FE0">
              <w:rPr>
                <w:spacing w:val="-5"/>
              </w:rPr>
              <w:t>th</w:t>
            </w:r>
            <w:r w:rsidRPr="00BB6FE0">
              <w:rPr>
                <w:spacing w:val="-6"/>
              </w:rPr>
              <w:t>er</w:t>
            </w:r>
          </w:p>
        </w:tc>
        <w:tc>
          <w:tcPr>
            <w:tcW w:w="1063" w:type="dxa"/>
            <w:tcBorders>
              <w:top w:val="nil"/>
              <w:left w:val="nil"/>
              <w:bottom w:val="nil"/>
              <w:right w:val="nil"/>
            </w:tcBorders>
            <w:shd w:val="clear" w:color="auto" w:fill="EFF4F5"/>
            <w:vAlign w:val="bottom"/>
          </w:tcPr>
          <w:p w14:paraId="5FF514B3" w14:textId="5D4E8ADF" w:rsidR="005846D1" w:rsidRPr="003032A7" w:rsidRDefault="00A016D1" w:rsidP="00A016D1">
            <w:pPr>
              <w:pStyle w:val="Tabletext"/>
              <w:jc w:val="right"/>
              <w:rPr>
                <w:b/>
              </w:rPr>
            </w:pPr>
            <w:r>
              <w:rPr>
                <w:b/>
              </w:rPr>
              <w:t>15.7</w:t>
            </w:r>
          </w:p>
        </w:tc>
        <w:tc>
          <w:tcPr>
            <w:tcW w:w="1063" w:type="dxa"/>
            <w:tcBorders>
              <w:top w:val="nil"/>
              <w:left w:val="nil"/>
              <w:bottom w:val="nil"/>
              <w:right w:val="nil"/>
            </w:tcBorders>
            <w:vAlign w:val="bottom"/>
          </w:tcPr>
          <w:p w14:paraId="58281162" w14:textId="1BAE9B47" w:rsidR="005846D1" w:rsidRPr="006518BD" w:rsidRDefault="005846D1" w:rsidP="00A3500D">
            <w:pPr>
              <w:pStyle w:val="Tabletext"/>
              <w:jc w:val="right"/>
            </w:pPr>
            <w:r>
              <w:t>7.9</w:t>
            </w:r>
          </w:p>
        </w:tc>
      </w:tr>
      <w:tr w:rsidR="005846D1" w:rsidRPr="009F2075" w14:paraId="7F102472" w14:textId="77777777" w:rsidTr="00D8071B">
        <w:tc>
          <w:tcPr>
            <w:tcW w:w="6946" w:type="dxa"/>
            <w:tcBorders>
              <w:top w:val="nil"/>
              <w:left w:val="nil"/>
              <w:bottom w:val="nil"/>
              <w:right w:val="nil"/>
            </w:tcBorders>
          </w:tcPr>
          <w:p w14:paraId="217A67ED" w14:textId="19C9B4B9" w:rsidR="005846D1" w:rsidRPr="00BB6FE0" w:rsidRDefault="005846D1" w:rsidP="00A3500D">
            <w:pPr>
              <w:pStyle w:val="Tabletext"/>
              <w:rPr>
                <w:spacing w:val="-5"/>
              </w:rPr>
            </w:pPr>
            <w:r w:rsidRPr="00BB6FE0">
              <w:t>Pro</w:t>
            </w:r>
            <w:r w:rsidRPr="00BB6FE0">
              <w:rPr>
                <w:spacing w:val="-3"/>
              </w:rPr>
              <w:t>fit</w:t>
            </w:r>
            <w:r w:rsidRPr="00BB6FE0">
              <w:rPr>
                <w:spacing w:val="-6"/>
              </w:rPr>
              <w:t xml:space="preserve"> </w:t>
            </w:r>
            <w:r w:rsidRPr="00BB6FE0">
              <w:rPr>
                <w:spacing w:val="-3"/>
              </w:rPr>
              <w:t>o</w:t>
            </w:r>
            <w:r w:rsidRPr="00BB6FE0">
              <w:t>n</w:t>
            </w:r>
            <w:r w:rsidRPr="00BB6FE0">
              <w:rPr>
                <w:spacing w:val="-6"/>
              </w:rPr>
              <w:t xml:space="preserve"> </w:t>
            </w:r>
            <w:r w:rsidRPr="00BB6FE0">
              <w:t>disp</w:t>
            </w:r>
            <w:r w:rsidRPr="00BB6FE0">
              <w:rPr>
                <w:spacing w:val="-5"/>
              </w:rPr>
              <w:t>o</w:t>
            </w:r>
            <w:r w:rsidRPr="00BB6FE0">
              <w:t>sal</w:t>
            </w:r>
            <w:r w:rsidRPr="00BB6FE0">
              <w:rPr>
                <w:spacing w:val="-6"/>
              </w:rPr>
              <w:t xml:space="preserve"> </w:t>
            </w:r>
            <w:r w:rsidRPr="00BB6FE0">
              <w:t>o</w:t>
            </w:r>
            <w:r w:rsidRPr="00BB6FE0">
              <w:rPr>
                <w:spacing w:val="-1"/>
              </w:rPr>
              <w:t>f</w:t>
            </w:r>
            <w:r w:rsidRPr="00BB6FE0">
              <w:rPr>
                <w:spacing w:val="-6"/>
              </w:rPr>
              <w:t xml:space="preserve"> </w:t>
            </w:r>
            <w:r w:rsidRPr="00BB6FE0">
              <w:rPr>
                <w:spacing w:val="-3"/>
              </w:rPr>
              <w:t>pr</w:t>
            </w:r>
            <w:r w:rsidRPr="00BB6FE0">
              <w:t>o</w:t>
            </w:r>
            <w:r w:rsidRPr="00BB6FE0">
              <w:rPr>
                <w:spacing w:val="-3"/>
              </w:rPr>
              <w:t>p</w:t>
            </w:r>
            <w:r w:rsidRPr="00BB6FE0">
              <w:t>er</w:t>
            </w:r>
            <w:r w:rsidRPr="00BB6FE0">
              <w:rPr>
                <w:spacing w:val="-3"/>
              </w:rPr>
              <w:t>t</w:t>
            </w:r>
            <w:r w:rsidRPr="00BB6FE0">
              <w:t>y,</w:t>
            </w:r>
            <w:r w:rsidRPr="00BB6FE0">
              <w:rPr>
                <w:spacing w:val="-5"/>
              </w:rPr>
              <w:t xml:space="preserve"> </w:t>
            </w:r>
            <w:r w:rsidRPr="00BB6FE0">
              <w:t>plant</w:t>
            </w:r>
            <w:r w:rsidRPr="00BB6FE0">
              <w:rPr>
                <w:spacing w:val="-6"/>
              </w:rPr>
              <w:t xml:space="preserve"> </w:t>
            </w:r>
            <w:r w:rsidRPr="00BB6FE0">
              <w:t>and</w:t>
            </w:r>
            <w:r w:rsidRPr="00BB6FE0">
              <w:rPr>
                <w:spacing w:val="-6"/>
              </w:rPr>
              <w:t xml:space="preserve"> </w:t>
            </w:r>
            <w:r w:rsidRPr="00BB6FE0">
              <w:rPr>
                <w:spacing w:val="-5"/>
              </w:rPr>
              <w:t>e</w:t>
            </w:r>
            <w:r w:rsidRPr="00BB6FE0">
              <w:t>quipm</w:t>
            </w:r>
            <w:r w:rsidRPr="00BB6FE0">
              <w:rPr>
                <w:spacing w:val="-5"/>
              </w:rPr>
              <w:t>e</w:t>
            </w:r>
            <w:r w:rsidRPr="00BB6FE0">
              <w:t>nt</w:t>
            </w:r>
            <w:r w:rsidRPr="00BB6FE0">
              <w:rPr>
                <w:spacing w:val="-6"/>
              </w:rPr>
              <w:t xml:space="preserve"> </w:t>
            </w:r>
            <w:r w:rsidRPr="00BB6FE0">
              <w:rPr>
                <w:spacing w:val="-5"/>
              </w:rPr>
              <w:t>(</w:t>
            </w:r>
            <w:r w:rsidRPr="00BB6FE0">
              <w:t>n</w:t>
            </w:r>
            <w:r w:rsidRPr="00BB6FE0">
              <w:rPr>
                <w:spacing w:val="-5"/>
              </w:rPr>
              <w:t>o</w:t>
            </w:r>
            <w:r w:rsidRPr="00BB6FE0">
              <w:t>t</w:t>
            </w:r>
            <w:r w:rsidRPr="00BB6FE0">
              <w:rPr>
                <w:spacing w:val="-5"/>
              </w:rPr>
              <w:t>e</w:t>
            </w:r>
            <w:r w:rsidRPr="00BB6FE0">
              <w:rPr>
                <w:spacing w:val="-6"/>
              </w:rPr>
              <w:t xml:space="preserve"> </w:t>
            </w:r>
            <w:r w:rsidRPr="00BB6FE0">
              <w:t>1</w:t>
            </w:r>
            <w:r w:rsidRPr="00BB6FE0">
              <w:rPr>
                <w:spacing w:val="-5"/>
              </w:rPr>
              <w:t>)</w:t>
            </w:r>
          </w:p>
        </w:tc>
        <w:tc>
          <w:tcPr>
            <w:tcW w:w="1063" w:type="dxa"/>
            <w:tcBorders>
              <w:top w:val="nil"/>
              <w:left w:val="nil"/>
              <w:bottom w:val="nil"/>
              <w:right w:val="nil"/>
            </w:tcBorders>
            <w:shd w:val="clear" w:color="auto" w:fill="EFF4F5"/>
            <w:vAlign w:val="bottom"/>
          </w:tcPr>
          <w:p w14:paraId="6FF1B0F5" w14:textId="293284D3" w:rsidR="005846D1" w:rsidRPr="003032A7" w:rsidRDefault="00A016D1" w:rsidP="00A3500D">
            <w:pPr>
              <w:pStyle w:val="Tabletext"/>
              <w:jc w:val="right"/>
              <w:rPr>
                <w:b/>
              </w:rPr>
            </w:pPr>
            <w:r w:rsidRPr="00A016D1">
              <w:rPr>
                <w:b/>
              </w:rPr>
              <w:t>–</w:t>
            </w:r>
          </w:p>
        </w:tc>
        <w:tc>
          <w:tcPr>
            <w:tcW w:w="1063" w:type="dxa"/>
            <w:tcBorders>
              <w:top w:val="nil"/>
              <w:left w:val="nil"/>
              <w:bottom w:val="nil"/>
              <w:right w:val="nil"/>
            </w:tcBorders>
            <w:vAlign w:val="bottom"/>
          </w:tcPr>
          <w:p w14:paraId="261E9A3F" w14:textId="68031EE9" w:rsidR="005846D1" w:rsidRPr="006518BD" w:rsidRDefault="005846D1" w:rsidP="00A3500D">
            <w:pPr>
              <w:pStyle w:val="Tabletext"/>
              <w:jc w:val="right"/>
            </w:pPr>
            <w:r w:rsidRPr="006518BD">
              <w:rPr>
                <w:bCs/>
                <w:spacing w:val="-3"/>
              </w:rPr>
              <w:t>(18</w:t>
            </w:r>
            <w:r w:rsidRPr="006518BD">
              <w:rPr>
                <w:bCs/>
              </w:rPr>
              <w:t>.</w:t>
            </w:r>
            <w:r w:rsidRPr="006518BD">
              <w:rPr>
                <w:bCs/>
                <w:spacing w:val="-3"/>
              </w:rPr>
              <w:t>5)</w:t>
            </w:r>
          </w:p>
        </w:tc>
      </w:tr>
      <w:tr w:rsidR="005846D1" w:rsidRPr="009F2075" w14:paraId="2DE05C0B" w14:textId="77777777" w:rsidTr="00D8071B">
        <w:tc>
          <w:tcPr>
            <w:tcW w:w="6946" w:type="dxa"/>
            <w:tcBorders>
              <w:top w:val="nil"/>
              <w:left w:val="nil"/>
              <w:bottom w:val="nil"/>
              <w:right w:val="nil"/>
            </w:tcBorders>
          </w:tcPr>
          <w:p w14:paraId="3F491619" w14:textId="5F454FEA" w:rsidR="005846D1" w:rsidRDefault="005846D1" w:rsidP="00A3500D">
            <w:pPr>
              <w:pStyle w:val="Tabletext"/>
              <w:rPr>
                <w:spacing w:val="-5"/>
              </w:rPr>
            </w:pPr>
            <w:r>
              <w:t>Adjustment to rent (note 2)</w:t>
            </w:r>
          </w:p>
        </w:tc>
        <w:tc>
          <w:tcPr>
            <w:tcW w:w="1063" w:type="dxa"/>
            <w:tcBorders>
              <w:top w:val="nil"/>
              <w:left w:val="nil"/>
              <w:bottom w:val="nil"/>
              <w:right w:val="nil"/>
            </w:tcBorders>
            <w:shd w:val="clear" w:color="auto" w:fill="EFF4F5"/>
            <w:vAlign w:val="bottom"/>
          </w:tcPr>
          <w:p w14:paraId="71E192F2" w14:textId="121E5724" w:rsidR="005846D1" w:rsidRPr="003032A7" w:rsidRDefault="00A016D1" w:rsidP="00A3500D">
            <w:pPr>
              <w:pStyle w:val="Tabletext"/>
              <w:jc w:val="right"/>
              <w:rPr>
                <w:b/>
              </w:rPr>
            </w:pPr>
            <w:r w:rsidRPr="00A016D1">
              <w:rPr>
                <w:b/>
              </w:rPr>
              <w:t>–</w:t>
            </w:r>
          </w:p>
        </w:tc>
        <w:tc>
          <w:tcPr>
            <w:tcW w:w="1063" w:type="dxa"/>
            <w:tcBorders>
              <w:top w:val="nil"/>
              <w:left w:val="nil"/>
              <w:bottom w:val="nil"/>
              <w:right w:val="nil"/>
            </w:tcBorders>
            <w:vAlign w:val="bottom"/>
          </w:tcPr>
          <w:p w14:paraId="75CF5442" w14:textId="167672A9" w:rsidR="005846D1" w:rsidRPr="006518BD" w:rsidRDefault="00A016D1" w:rsidP="00A016D1">
            <w:pPr>
              <w:pStyle w:val="Tabletext"/>
              <w:jc w:val="right"/>
            </w:pPr>
            <w:r w:rsidRPr="00A016D1">
              <w:t>(0.5)</w:t>
            </w:r>
          </w:p>
        </w:tc>
      </w:tr>
      <w:tr w:rsidR="005846D1" w:rsidRPr="009F2075" w14:paraId="6B3C5A85" w14:textId="77777777" w:rsidTr="00D8071B">
        <w:tc>
          <w:tcPr>
            <w:tcW w:w="6946" w:type="dxa"/>
            <w:tcBorders>
              <w:top w:val="nil"/>
              <w:left w:val="nil"/>
              <w:bottom w:val="nil"/>
              <w:right w:val="nil"/>
            </w:tcBorders>
          </w:tcPr>
          <w:p w14:paraId="658BDC50" w14:textId="0117B7B4" w:rsidR="005846D1" w:rsidRDefault="005846D1" w:rsidP="00A3500D">
            <w:pPr>
              <w:pStyle w:val="Tabletext"/>
              <w:rPr>
                <w:spacing w:val="-5"/>
              </w:rPr>
            </w:pPr>
            <w:r w:rsidRPr="00475363">
              <w:t xml:space="preserve">PLC </w:t>
            </w:r>
            <w:r>
              <w:t>cost normalisation (note 3)</w:t>
            </w:r>
          </w:p>
        </w:tc>
        <w:tc>
          <w:tcPr>
            <w:tcW w:w="1063" w:type="dxa"/>
            <w:tcBorders>
              <w:top w:val="nil"/>
              <w:left w:val="nil"/>
              <w:bottom w:val="nil"/>
              <w:right w:val="nil"/>
            </w:tcBorders>
            <w:shd w:val="clear" w:color="auto" w:fill="EFF4F5"/>
            <w:vAlign w:val="bottom"/>
          </w:tcPr>
          <w:p w14:paraId="418FD7F5" w14:textId="59197B49" w:rsidR="005846D1" w:rsidRPr="003032A7" w:rsidRDefault="00A016D1" w:rsidP="00A3500D">
            <w:pPr>
              <w:pStyle w:val="Tabletext"/>
              <w:jc w:val="right"/>
              <w:rPr>
                <w:b/>
              </w:rPr>
            </w:pPr>
            <w:r w:rsidRPr="00A016D1">
              <w:rPr>
                <w:b/>
              </w:rPr>
              <w:t>–</w:t>
            </w:r>
          </w:p>
        </w:tc>
        <w:tc>
          <w:tcPr>
            <w:tcW w:w="1063" w:type="dxa"/>
            <w:tcBorders>
              <w:top w:val="nil"/>
              <w:left w:val="nil"/>
              <w:bottom w:val="nil"/>
              <w:right w:val="nil"/>
            </w:tcBorders>
            <w:vAlign w:val="bottom"/>
          </w:tcPr>
          <w:p w14:paraId="465CA540" w14:textId="3723937E" w:rsidR="005846D1" w:rsidRPr="00A016D1" w:rsidRDefault="00A016D1" w:rsidP="00A016D1">
            <w:pPr>
              <w:pStyle w:val="Tabletext"/>
              <w:jc w:val="right"/>
            </w:pPr>
            <w:r w:rsidRPr="00A016D1">
              <w:t>(2.0)</w:t>
            </w:r>
          </w:p>
        </w:tc>
      </w:tr>
      <w:tr w:rsidR="005846D1" w:rsidRPr="009F2075" w14:paraId="0790D9CD" w14:textId="77777777" w:rsidTr="00D8071B">
        <w:tc>
          <w:tcPr>
            <w:tcW w:w="6946" w:type="dxa"/>
            <w:tcBorders>
              <w:top w:val="nil"/>
              <w:left w:val="nil"/>
              <w:bottom w:val="nil"/>
              <w:right w:val="nil"/>
            </w:tcBorders>
          </w:tcPr>
          <w:p w14:paraId="4240F8ED" w14:textId="389EF069" w:rsidR="005846D1" w:rsidRPr="00BB6FE0" w:rsidRDefault="005846D1" w:rsidP="00A3500D">
            <w:pPr>
              <w:pStyle w:val="Tabletext"/>
              <w:rPr>
                <w:spacing w:val="-5"/>
              </w:rPr>
            </w:pPr>
            <w:r>
              <w:rPr>
                <w:spacing w:val="-5"/>
              </w:rPr>
              <w:t>Financing adjustments:</w:t>
            </w:r>
          </w:p>
        </w:tc>
        <w:tc>
          <w:tcPr>
            <w:tcW w:w="1063" w:type="dxa"/>
            <w:tcBorders>
              <w:top w:val="nil"/>
              <w:left w:val="nil"/>
              <w:bottom w:val="nil"/>
              <w:right w:val="nil"/>
            </w:tcBorders>
            <w:shd w:val="clear" w:color="auto" w:fill="EFF4F5"/>
            <w:vAlign w:val="bottom"/>
          </w:tcPr>
          <w:p w14:paraId="519A77A9" w14:textId="77777777" w:rsidR="005846D1" w:rsidRPr="003032A7" w:rsidRDefault="005846D1" w:rsidP="00A3500D">
            <w:pPr>
              <w:pStyle w:val="Tabletext"/>
              <w:jc w:val="right"/>
              <w:rPr>
                <w:b/>
              </w:rPr>
            </w:pPr>
          </w:p>
        </w:tc>
        <w:tc>
          <w:tcPr>
            <w:tcW w:w="1063" w:type="dxa"/>
            <w:tcBorders>
              <w:top w:val="nil"/>
              <w:left w:val="nil"/>
              <w:bottom w:val="nil"/>
              <w:right w:val="nil"/>
            </w:tcBorders>
            <w:vAlign w:val="bottom"/>
          </w:tcPr>
          <w:p w14:paraId="2DED66E3" w14:textId="381D2F35" w:rsidR="005846D1" w:rsidRPr="006518BD" w:rsidRDefault="005846D1" w:rsidP="00A3500D">
            <w:pPr>
              <w:pStyle w:val="Tabletext"/>
              <w:jc w:val="right"/>
            </w:pPr>
          </w:p>
        </w:tc>
      </w:tr>
      <w:tr w:rsidR="005846D1" w:rsidRPr="009F2075" w14:paraId="6A9FC9CC" w14:textId="77777777" w:rsidTr="00D8071B">
        <w:tc>
          <w:tcPr>
            <w:tcW w:w="6946" w:type="dxa"/>
            <w:tcBorders>
              <w:top w:val="nil"/>
              <w:left w:val="nil"/>
              <w:right w:val="nil"/>
            </w:tcBorders>
          </w:tcPr>
          <w:p w14:paraId="3848D03D" w14:textId="01D67E04" w:rsidR="005846D1" w:rsidRPr="00BB6FE0" w:rsidRDefault="005846D1" w:rsidP="00A3500D">
            <w:pPr>
              <w:pStyle w:val="Tabletext"/>
              <w:rPr>
                <w:spacing w:val="-5"/>
              </w:rPr>
            </w:pPr>
            <w:r>
              <w:t>Finance costs shareholder loans (note 4)</w:t>
            </w:r>
          </w:p>
        </w:tc>
        <w:tc>
          <w:tcPr>
            <w:tcW w:w="1063" w:type="dxa"/>
            <w:tcBorders>
              <w:top w:val="nil"/>
              <w:left w:val="nil"/>
              <w:right w:val="nil"/>
            </w:tcBorders>
            <w:shd w:val="clear" w:color="auto" w:fill="EFF4F5"/>
            <w:vAlign w:val="bottom"/>
          </w:tcPr>
          <w:p w14:paraId="5C697353" w14:textId="6ADE2502" w:rsidR="005846D1" w:rsidRPr="003032A7" w:rsidRDefault="00A016D1" w:rsidP="00A3500D">
            <w:pPr>
              <w:pStyle w:val="Tabletext"/>
              <w:jc w:val="right"/>
              <w:rPr>
                <w:b/>
              </w:rPr>
            </w:pPr>
            <w:r w:rsidRPr="00A016D1">
              <w:rPr>
                <w:b/>
              </w:rPr>
              <w:t>–</w:t>
            </w:r>
          </w:p>
        </w:tc>
        <w:tc>
          <w:tcPr>
            <w:tcW w:w="1063" w:type="dxa"/>
            <w:tcBorders>
              <w:top w:val="nil"/>
              <w:left w:val="nil"/>
              <w:right w:val="nil"/>
            </w:tcBorders>
            <w:vAlign w:val="bottom"/>
          </w:tcPr>
          <w:p w14:paraId="547A15B6" w14:textId="4479B460" w:rsidR="005846D1" w:rsidRPr="006518BD" w:rsidRDefault="005846D1" w:rsidP="00A3500D">
            <w:pPr>
              <w:pStyle w:val="Tabletext"/>
              <w:jc w:val="right"/>
            </w:pPr>
            <w:r>
              <w:t>54.8</w:t>
            </w:r>
          </w:p>
        </w:tc>
      </w:tr>
      <w:tr w:rsidR="005846D1" w:rsidRPr="009F2075" w14:paraId="3650516E" w14:textId="77777777" w:rsidTr="00D8071B">
        <w:tc>
          <w:tcPr>
            <w:tcW w:w="6946" w:type="dxa"/>
            <w:tcBorders>
              <w:top w:val="nil"/>
              <w:left w:val="nil"/>
              <w:bottom w:val="single" w:sz="4" w:space="0" w:color="93B7BB"/>
              <w:right w:val="nil"/>
            </w:tcBorders>
          </w:tcPr>
          <w:p w14:paraId="12A6AF43" w14:textId="1CAD1F85" w:rsidR="005846D1" w:rsidRPr="00BB6FE0" w:rsidRDefault="005846D1" w:rsidP="00A3500D">
            <w:pPr>
              <w:pStyle w:val="Tabletext"/>
              <w:rPr>
                <w:spacing w:val="-5"/>
              </w:rPr>
            </w:pPr>
            <w:r>
              <w:t>Finance costs bank loans (note 5)</w:t>
            </w:r>
          </w:p>
        </w:tc>
        <w:tc>
          <w:tcPr>
            <w:tcW w:w="1063" w:type="dxa"/>
            <w:tcBorders>
              <w:top w:val="nil"/>
              <w:left w:val="nil"/>
              <w:bottom w:val="single" w:sz="4" w:space="0" w:color="93B7BB"/>
              <w:right w:val="nil"/>
            </w:tcBorders>
            <w:shd w:val="clear" w:color="auto" w:fill="EFF4F5"/>
            <w:vAlign w:val="bottom"/>
          </w:tcPr>
          <w:p w14:paraId="1F9E5AC9" w14:textId="673EAE91" w:rsidR="005846D1" w:rsidRPr="003032A7" w:rsidRDefault="00A016D1" w:rsidP="00A3500D">
            <w:pPr>
              <w:pStyle w:val="Tabletext"/>
              <w:jc w:val="right"/>
              <w:rPr>
                <w:b/>
              </w:rPr>
            </w:pPr>
            <w:r w:rsidRPr="00A016D1">
              <w:rPr>
                <w:b/>
              </w:rPr>
              <w:t>–</w:t>
            </w:r>
          </w:p>
        </w:tc>
        <w:tc>
          <w:tcPr>
            <w:tcW w:w="1063" w:type="dxa"/>
            <w:tcBorders>
              <w:top w:val="nil"/>
              <w:left w:val="nil"/>
              <w:bottom w:val="single" w:sz="4" w:space="0" w:color="93B7BB"/>
              <w:right w:val="nil"/>
            </w:tcBorders>
            <w:vAlign w:val="bottom"/>
          </w:tcPr>
          <w:p w14:paraId="190D8266" w14:textId="0C09A49D" w:rsidR="005846D1" w:rsidRPr="006518BD" w:rsidRDefault="005846D1" w:rsidP="00A3500D">
            <w:pPr>
              <w:pStyle w:val="Tabletext"/>
              <w:jc w:val="right"/>
            </w:pPr>
            <w:r>
              <w:t>10.4</w:t>
            </w:r>
          </w:p>
        </w:tc>
      </w:tr>
      <w:tr w:rsidR="005846D1" w:rsidRPr="009F2075" w14:paraId="61C69640" w14:textId="77777777" w:rsidTr="00D8071B">
        <w:tc>
          <w:tcPr>
            <w:tcW w:w="6946" w:type="dxa"/>
            <w:tcBorders>
              <w:top w:val="single" w:sz="4" w:space="0" w:color="93B7BB"/>
              <w:left w:val="nil"/>
              <w:bottom w:val="nil"/>
              <w:right w:val="nil"/>
            </w:tcBorders>
          </w:tcPr>
          <w:p w14:paraId="5E4F9132" w14:textId="1B33CCF3" w:rsidR="005846D1" w:rsidRPr="00BB6FE0" w:rsidRDefault="005846D1" w:rsidP="00A3500D">
            <w:pPr>
              <w:pStyle w:val="Tabletext"/>
              <w:rPr>
                <w:spacing w:val="-5"/>
              </w:rPr>
            </w:pPr>
            <w:r w:rsidRPr="00BB6FE0">
              <w:rPr>
                <w:spacing w:val="-5"/>
              </w:rPr>
              <w:t>Pro</w:t>
            </w:r>
            <w:r w:rsidRPr="00BB6FE0">
              <w:t>-f</w:t>
            </w:r>
            <w:r w:rsidRPr="00BB6FE0">
              <w:rPr>
                <w:spacing w:val="-5"/>
              </w:rPr>
              <w:t>o</w:t>
            </w:r>
            <w:r w:rsidRPr="00BB6FE0">
              <w:t>rma</w:t>
            </w:r>
            <w:r w:rsidRPr="00BB6FE0">
              <w:rPr>
                <w:spacing w:val="-5"/>
              </w:rPr>
              <w:t xml:space="preserve"> </w:t>
            </w:r>
            <w:r w:rsidRPr="00BB6FE0">
              <w:rPr>
                <w:spacing w:val="-3"/>
              </w:rPr>
              <w:t>pr</w:t>
            </w:r>
            <w:r w:rsidRPr="00BB6FE0">
              <w:t>o</w:t>
            </w:r>
            <w:r w:rsidRPr="00BB6FE0">
              <w:rPr>
                <w:spacing w:val="-3"/>
              </w:rPr>
              <w:t>fit</w:t>
            </w:r>
            <w:r w:rsidRPr="00BB6FE0">
              <w:t xml:space="preserve"> </w:t>
            </w:r>
            <w:r w:rsidRPr="00BB6FE0">
              <w:rPr>
                <w:spacing w:val="-3"/>
              </w:rPr>
              <w:t>b</w:t>
            </w:r>
            <w:r w:rsidRPr="00BB6FE0">
              <w:t>e</w:t>
            </w:r>
            <w:r w:rsidRPr="00BB6FE0">
              <w:rPr>
                <w:spacing w:val="-3"/>
              </w:rPr>
              <w:t>f</w:t>
            </w:r>
            <w:r w:rsidRPr="00BB6FE0">
              <w:t>ore tax</w:t>
            </w:r>
          </w:p>
        </w:tc>
        <w:tc>
          <w:tcPr>
            <w:tcW w:w="1063" w:type="dxa"/>
            <w:tcBorders>
              <w:top w:val="single" w:sz="4" w:space="0" w:color="93B7BB"/>
              <w:left w:val="nil"/>
              <w:bottom w:val="nil"/>
              <w:right w:val="nil"/>
            </w:tcBorders>
            <w:shd w:val="clear" w:color="auto" w:fill="EFF4F5"/>
            <w:vAlign w:val="bottom"/>
          </w:tcPr>
          <w:p w14:paraId="2D822454" w14:textId="6ABBDFCB" w:rsidR="005846D1" w:rsidRPr="003032A7" w:rsidRDefault="00A016D1" w:rsidP="00A3500D">
            <w:pPr>
              <w:pStyle w:val="Tabletext"/>
              <w:jc w:val="right"/>
              <w:rPr>
                <w:b/>
              </w:rPr>
            </w:pPr>
            <w:r>
              <w:rPr>
                <w:b/>
              </w:rPr>
              <w:t>89.3</w:t>
            </w:r>
          </w:p>
        </w:tc>
        <w:tc>
          <w:tcPr>
            <w:tcW w:w="1063" w:type="dxa"/>
            <w:tcBorders>
              <w:top w:val="single" w:sz="4" w:space="0" w:color="93B7BB"/>
              <w:left w:val="nil"/>
              <w:bottom w:val="nil"/>
              <w:right w:val="nil"/>
            </w:tcBorders>
            <w:vAlign w:val="bottom"/>
          </w:tcPr>
          <w:p w14:paraId="74B869FA" w14:textId="0E916E26" w:rsidR="005846D1" w:rsidRPr="00A016D1" w:rsidRDefault="00A016D1" w:rsidP="00A016D1">
            <w:pPr>
              <w:pStyle w:val="Tabletext"/>
              <w:jc w:val="right"/>
            </w:pPr>
            <w:r w:rsidRPr="00A016D1">
              <w:t>91.2</w:t>
            </w:r>
          </w:p>
        </w:tc>
      </w:tr>
      <w:tr w:rsidR="005846D1" w:rsidRPr="009F2075" w14:paraId="04D63101" w14:textId="77777777" w:rsidTr="00D8071B">
        <w:tc>
          <w:tcPr>
            <w:tcW w:w="6946" w:type="dxa"/>
            <w:tcBorders>
              <w:top w:val="nil"/>
              <w:left w:val="nil"/>
              <w:bottom w:val="single" w:sz="4" w:space="0" w:color="93B7BB"/>
              <w:right w:val="nil"/>
            </w:tcBorders>
          </w:tcPr>
          <w:p w14:paraId="7837F296" w14:textId="7CDA394C" w:rsidR="005846D1" w:rsidRPr="00BB6FE0" w:rsidRDefault="005846D1" w:rsidP="00A3500D">
            <w:pPr>
              <w:pStyle w:val="Tabletext"/>
              <w:rPr>
                <w:spacing w:val="-5"/>
              </w:rPr>
            </w:pPr>
            <w:r>
              <w:rPr>
                <w:spacing w:val="-5"/>
              </w:rPr>
              <w:t xml:space="preserve">Taxation </w:t>
            </w:r>
            <w:r>
              <w:t>(note 6)</w:t>
            </w:r>
          </w:p>
        </w:tc>
        <w:tc>
          <w:tcPr>
            <w:tcW w:w="1063" w:type="dxa"/>
            <w:tcBorders>
              <w:top w:val="nil"/>
              <w:left w:val="nil"/>
              <w:bottom w:val="single" w:sz="4" w:space="0" w:color="93B7BB"/>
              <w:right w:val="nil"/>
            </w:tcBorders>
            <w:shd w:val="clear" w:color="auto" w:fill="EFF4F5"/>
            <w:vAlign w:val="bottom"/>
          </w:tcPr>
          <w:p w14:paraId="15625D81" w14:textId="036FFD47" w:rsidR="005846D1" w:rsidRPr="003032A7" w:rsidRDefault="00A016D1" w:rsidP="00A016D1">
            <w:pPr>
              <w:pStyle w:val="Tabletext"/>
              <w:jc w:val="right"/>
              <w:rPr>
                <w:b/>
              </w:rPr>
            </w:pPr>
            <w:r>
              <w:rPr>
                <w:b/>
              </w:rPr>
              <w:t>(16.3)</w:t>
            </w:r>
          </w:p>
        </w:tc>
        <w:tc>
          <w:tcPr>
            <w:tcW w:w="1063" w:type="dxa"/>
            <w:tcBorders>
              <w:top w:val="nil"/>
              <w:left w:val="nil"/>
              <w:bottom w:val="single" w:sz="4" w:space="0" w:color="93B7BB"/>
              <w:right w:val="nil"/>
            </w:tcBorders>
            <w:vAlign w:val="bottom"/>
          </w:tcPr>
          <w:p w14:paraId="79A9DED3" w14:textId="3D085349" w:rsidR="005846D1" w:rsidRPr="00A016D1" w:rsidRDefault="00A016D1" w:rsidP="00A016D1">
            <w:pPr>
              <w:pStyle w:val="Tabletext"/>
              <w:jc w:val="right"/>
            </w:pPr>
            <w:r>
              <w:t>(19.6)</w:t>
            </w:r>
          </w:p>
        </w:tc>
      </w:tr>
      <w:tr w:rsidR="005846D1" w:rsidRPr="009F2075" w14:paraId="2232E80F" w14:textId="77777777" w:rsidTr="00D8071B">
        <w:tc>
          <w:tcPr>
            <w:tcW w:w="6946" w:type="dxa"/>
            <w:tcBorders>
              <w:top w:val="single" w:sz="4" w:space="0" w:color="93B7BB"/>
              <w:left w:val="nil"/>
              <w:bottom w:val="single" w:sz="4" w:space="0" w:color="93B7BB"/>
              <w:right w:val="nil"/>
            </w:tcBorders>
          </w:tcPr>
          <w:p w14:paraId="03F0521E" w14:textId="590B512B" w:rsidR="005846D1" w:rsidRPr="00BB6FE0" w:rsidRDefault="004F7355" w:rsidP="004F7355">
            <w:pPr>
              <w:pStyle w:val="Tabletext"/>
              <w:rPr>
                <w:spacing w:val="-5"/>
              </w:rPr>
            </w:pPr>
            <w:r w:rsidRPr="00BB6FE0">
              <w:rPr>
                <w:spacing w:val="-5"/>
              </w:rPr>
              <w:t>Pro</w:t>
            </w:r>
            <w:r w:rsidRPr="00BB6FE0">
              <w:t>-f</w:t>
            </w:r>
            <w:r w:rsidRPr="00BB6FE0">
              <w:rPr>
                <w:spacing w:val="-5"/>
              </w:rPr>
              <w:t>o</w:t>
            </w:r>
            <w:r w:rsidRPr="00BB6FE0">
              <w:t>rma</w:t>
            </w:r>
            <w:r w:rsidRPr="00BB6FE0">
              <w:rPr>
                <w:spacing w:val="-5"/>
              </w:rPr>
              <w:t xml:space="preserve"> </w:t>
            </w:r>
            <w:r w:rsidRPr="00BB6FE0">
              <w:rPr>
                <w:spacing w:val="-3"/>
              </w:rPr>
              <w:t>pr</w:t>
            </w:r>
            <w:r w:rsidRPr="00BB6FE0">
              <w:t>o</w:t>
            </w:r>
            <w:r w:rsidRPr="00BB6FE0">
              <w:rPr>
                <w:spacing w:val="-3"/>
              </w:rPr>
              <w:t>fit</w:t>
            </w:r>
            <w:r w:rsidRPr="00BB6FE0">
              <w:t xml:space="preserve"> </w:t>
            </w:r>
            <w:r>
              <w:t xml:space="preserve">after </w:t>
            </w:r>
            <w:r w:rsidRPr="00BB6FE0">
              <w:t>tax</w:t>
            </w:r>
          </w:p>
        </w:tc>
        <w:tc>
          <w:tcPr>
            <w:tcW w:w="1063" w:type="dxa"/>
            <w:tcBorders>
              <w:top w:val="single" w:sz="4" w:space="0" w:color="93B7BB"/>
              <w:left w:val="nil"/>
              <w:bottom w:val="single" w:sz="4" w:space="0" w:color="93B7BB"/>
              <w:right w:val="nil"/>
            </w:tcBorders>
            <w:shd w:val="clear" w:color="auto" w:fill="EFF4F5"/>
            <w:vAlign w:val="bottom"/>
          </w:tcPr>
          <w:p w14:paraId="358AF448" w14:textId="7A543387" w:rsidR="005846D1" w:rsidRPr="003032A7" w:rsidRDefault="00A016D1" w:rsidP="00A3500D">
            <w:pPr>
              <w:pStyle w:val="Tabletext"/>
              <w:jc w:val="right"/>
              <w:rPr>
                <w:b/>
              </w:rPr>
            </w:pPr>
            <w:r>
              <w:rPr>
                <w:b/>
              </w:rPr>
              <w:t>73.0</w:t>
            </w:r>
          </w:p>
        </w:tc>
        <w:tc>
          <w:tcPr>
            <w:tcW w:w="1063" w:type="dxa"/>
            <w:tcBorders>
              <w:top w:val="single" w:sz="4" w:space="0" w:color="93B7BB"/>
              <w:left w:val="nil"/>
              <w:bottom w:val="single" w:sz="4" w:space="0" w:color="93B7BB"/>
              <w:right w:val="nil"/>
            </w:tcBorders>
            <w:vAlign w:val="bottom"/>
          </w:tcPr>
          <w:p w14:paraId="2ECA4E84" w14:textId="3656C4BA" w:rsidR="005846D1" w:rsidRPr="00A016D1" w:rsidRDefault="00A016D1" w:rsidP="00A3500D">
            <w:pPr>
              <w:pStyle w:val="Tabletext"/>
              <w:jc w:val="right"/>
            </w:pPr>
            <w:r>
              <w:t>71.6</w:t>
            </w:r>
          </w:p>
        </w:tc>
      </w:tr>
      <w:tr w:rsidR="005846D1" w:rsidRPr="009F2075" w14:paraId="383A4C35" w14:textId="77777777" w:rsidTr="00D8071B">
        <w:tc>
          <w:tcPr>
            <w:tcW w:w="6946" w:type="dxa"/>
            <w:tcBorders>
              <w:top w:val="single" w:sz="4" w:space="0" w:color="93B7BB"/>
              <w:left w:val="nil"/>
              <w:bottom w:val="single" w:sz="4" w:space="0" w:color="93B7BB"/>
              <w:right w:val="nil"/>
            </w:tcBorders>
          </w:tcPr>
          <w:p w14:paraId="04929CF1" w14:textId="0E8E512F" w:rsidR="005846D1" w:rsidRPr="00BB6FE0" w:rsidRDefault="004F7355" w:rsidP="00A3500D">
            <w:pPr>
              <w:pStyle w:val="Tabletext"/>
              <w:rPr>
                <w:spacing w:val="-5"/>
              </w:rPr>
            </w:pPr>
            <w:r>
              <w:rPr>
                <w:spacing w:val="-5"/>
              </w:rPr>
              <w:t>Weighted average numbe</w:t>
            </w:r>
            <w:r w:rsidR="00A016D1">
              <w:rPr>
                <w:spacing w:val="-5"/>
              </w:rPr>
              <w:t>r of ordinary shares in issue (N</w:t>
            </w:r>
            <w:r>
              <w:rPr>
                <w:spacing w:val="-5"/>
              </w:rPr>
              <w:t>o.)</w:t>
            </w:r>
          </w:p>
        </w:tc>
        <w:tc>
          <w:tcPr>
            <w:tcW w:w="1063" w:type="dxa"/>
            <w:tcBorders>
              <w:top w:val="single" w:sz="4" w:space="0" w:color="93B7BB"/>
              <w:left w:val="nil"/>
              <w:bottom w:val="single" w:sz="4" w:space="0" w:color="93B7BB"/>
              <w:right w:val="nil"/>
            </w:tcBorders>
            <w:shd w:val="clear" w:color="auto" w:fill="EFF4F5"/>
            <w:vAlign w:val="bottom"/>
          </w:tcPr>
          <w:p w14:paraId="079B8D97" w14:textId="04CD2230" w:rsidR="005846D1" w:rsidRPr="003032A7" w:rsidRDefault="00A016D1" w:rsidP="00A3500D">
            <w:pPr>
              <w:pStyle w:val="Tabletext"/>
              <w:jc w:val="right"/>
              <w:rPr>
                <w:b/>
              </w:rPr>
            </w:pPr>
            <w:r>
              <w:rPr>
                <w:b/>
              </w:rPr>
              <w:t>399,885,547</w:t>
            </w:r>
          </w:p>
        </w:tc>
        <w:tc>
          <w:tcPr>
            <w:tcW w:w="1063" w:type="dxa"/>
            <w:tcBorders>
              <w:top w:val="single" w:sz="4" w:space="0" w:color="93B7BB"/>
              <w:left w:val="nil"/>
              <w:bottom w:val="single" w:sz="4" w:space="0" w:color="93B7BB"/>
              <w:right w:val="nil"/>
            </w:tcBorders>
            <w:vAlign w:val="bottom"/>
          </w:tcPr>
          <w:p w14:paraId="75938AA1" w14:textId="7D90879C" w:rsidR="005846D1" w:rsidRPr="006518BD" w:rsidRDefault="00A016D1" w:rsidP="00A016D1">
            <w:pPr>
              <w:pStyle w:val="Tabletext"/>
              <w:jc w:val="right"/>
            </w:pPr>
            <w:r>
              <w:t>40</w:t>
            </w:r>
            <w:r w:rsidR="002B4460" w:rsidRPr="00704A73">
              <w:t>1,0</w:t>
            </w:r>
            <w:r>
              <w:t>81</w:t>
            </w:r>
            <w:r w:rsidR="002B4460" w:rsidRPr="00704A73">
              <w:t>,3</w:t>
            </w:r>
            <w:r>
              <w:t>91</w:t>
            </w:r>
          </w:p>
        </w:tc>
      </w:tr>
      <w:tr w:rsidR="005846D1" w:rsidRPr="009F2075" w14:paraId="4C2D7F24" w14:textId="77777777" w:rsidTr="00D8071B">
        <w:tc>
          <w:tcPr>
            <w:tcW w:w="6946" w:type="dxa"/>
            <w:tcBorders>
              <w:top w:val="single" w:sz="2" w:space="0" w:color="93B7BB"/>
              <w:left w:val="nil"/>
              <w:bottom w:val="single" w:sz="4" w:space="0" w:color="93B7BB"/>
              <w:right w:val="nil"/>
            </w:tcBorders>
          </w:tcPr>
          <w:p w14:paraId="242238AC" w14:textId="627188C7" w:rsidR="005846D1" w:rsidRPr="003032A7" w:rsidRDefault="004F7355" w:rsidP="00A3500D">
            <w:pPr>
              <w:pStyle w:val="Tabletext"/>
            </w:pPr>
            <w:r>
              <w:t>Pro-forma basic earnings per share (pence)</w:t>
            </w:r>
          </w:p>
        </w:tc>
        <w:tc>
          <w:tcPr>
            <w:tcW w:w="1063" w:type="dxa"/>
            <w:tcBorders>
              <w:top w:val="single" w:sz="2" w:space="0" w:color="93B7BB"/>
              <w:left w:val="nil"/>
              <w:bottom w:val="single" w:sz="4" w:space="0" w:color="93B7BB"/>
              <w:right w:val="nil"/>
            </w:tcBorders>
            <w:shd w:val="clear" w:color="auto" w:fill="EFF4F5"/>
            <w:vAlign w:val="bottom"/>
          </w:tcPr>
          <w:p w14:paraId="4FE4E511" w14:textId="4CA5420F" w:rsidR="005846D1" w:rsidRPr="003032A7" w:rsidRDefault="00A016D1" w:rsidP="00A3500D">
            <w:pPr>
              <w:pStyle w:val="Tabletext"/>
              <w:jc w:val="right"/>
              <w:rPr>
                <w:b/>
              </w:rPr>
            </w:pPr>
            <w:r>
              <w:rPr>
                <w:b/>
              </w:rPr>
              <w:t>18.3</w:t>
            </w:r>
          </w:p>
        </w:tc>
        <w:tc>
          <w:tcPr>
            <w:tcW w:w="1063" w:type="dxa"/>
            <w:tcBorders>
              <w:top w:val="single" w:sz="2" w:space="0" w:color="93B7BB"/>
              <w:left w:val="nil"/>
              <w:bottom w:val="single" w:sz="4" w:space="0" w:color="93B7BB"/>
              <w:right w:val="nil"/>
            </w:tcBorders>
            <w:vAlign w:val="bottom"/>
          </w:tcPr>
          <w:p w14:paraId="1B349B10" w14:textId="2271AF3C" w:rsidR="005846D1" w:rsidRPr="00A016D1" w:rsidRDefault="00A016D1" w:rsidP="00A016D1">
            <w:pPr>
              <w:pStyle w:val="Tabletext"/>
              <w:jc w:val="right"/>
            </w:pPr>
            <w:r w:rsidRPr="00A016D1">
              <w:t>17.9</w:t>
            </w:r>
          </w:p>
        </w:tc>
      </w:tr>
    </w:tbl>
    <w:p w14:paraId="3242045D" w14:textId="60F81A8C" w:rsidR="0005191D" w:rsidRDefault="0005191D" w:rsidP="000F5A69">
      <w:pPr>
        <w:pStyle w:val="Footnote"/>
      </w:pPr>
    </w:p>
    <w:p w14:paraId="6823EEA2" w14:textId="75D692D1" w:rsidR="00EA63FD" w:rsidRPr="00BB6FE0" w:rsidRDefault="00BB6FE0" w:rsidP="00BA7012">
      <w:pPr>
        <w:pStyle w:val="Footnote"/>
        <w:ind w:left="425" w:hanging="425"/>
        <w:jc w:val="both"/>
      </w:pPr>
      <w:r>
        <w:t>Note 1</w:t>
      </w:r>
      <w:r>
        <w:tab/>
      </w:r>
      <w:r w:rsidR="00EA63FD" w:rsidRPr="00BB6FE0">
        <w:t xml:space="preserve">Profit on disposal of the </w:t>
      </w:r>
      <w:r w:rsidR="00BA7012">
        <w:t>long lease</w:t>
      </w:r>
      <w:r w:rsidR="00D45760">
        <w:t>hold interest in</w:t>
      </w:r>
      <w:r w:rsidR="00EA63FD" w:rsidRPr="00BB6FE0">
        <w:t xml:space="preserve"> the Spire Washington Hospital, net of the loss arising on </w:t>
      </w:r>
      <w:r w:rsidR="00264D19">
        <w:t xml:space="preserve">the </w:t>
      </w:r>
      <w:r w:rsidR="00EA63FD" w:rsidRPr="00BB6FE0">
        <w:t>disposal of trade and assets of</w:t>
      </w:r>
      <w:r w:rsidR="00306114">
        <w:t xml:space="preserve"> a</w:t>
      </w:r>
      <w:r w:rsidR="00EA63FD" w:rsidRPr="00BB6FE0">
        <w:t xml:space="preserve"> fertility business</w:t>
      </w:r>
      <w:r w:rsidR="00BA7012">
        <w:t>.</w:t>
      </w:r>
    </w:p>
    <w:p w14:paraId="1A2CFCB9" w14:textId="77777777" w:rsidR="00BA7012" w:rsidRDefault="00BA7012" w:rsidP="00BA7012">
      <w:pPr>
        <w:pStyle w:val="Footnote"/>
        <w:ind w:left="425" w:hanging="425"/>
        <w:jc w:val="both"/>
      </w:pPr>
      <w:r>
        <w:t>Note 2</w:t>
      </w:r>
      <w:r>
        <w:tab/>
        <w:t xml:space="preserve">Adjust to conform the property rental base, to include this cost on the same basis as for 2015, following the sale, subject to lease, of the Spire Washington Hospital premises in March 2014 and the commencement of Spire </w:t>
      </w:r>
      <w:proofErr w:type="spellStart"/>
      <w:r>
        <w:t>Hesslewood</w:t>
      </w:r>
      <w:proofErr w:type="spellEnd"/>
      <w:r>
        <w:t xml:space="preserve"> Clinic, Hull lease from 1 January 2015.</w:t>
      </w:r>
    </w:p>
    <w:p w14:paraId="4AE7F503" w14:textId="77777777" w:rsidR="00BA7012" w:rsidRPr="00BB6FE0" w:rsidRDefault="00BA7012" w:rsidP="00BA7012">
      <w:pPr>
        <w:pStyle w:val="Footnote"/>
        <w:ind w:left="425" w:hanging="425"/>
        <w:jc w:val="both"/>
      </w:pPr>
      <w:r>
        <w:t>Note 3</w:t>
      </w:r>
      <w:r>
        <w:tab/>
        <w:t>Increases other operating expenses for the additional overhead costs associated with operating as a listed company, as if Admission had occurred on 1 January 2014.</w:t>
      </w:r>
    </w:p>
    <w:p w14:paraId="45869FAF" w14:textId="119F7516" w:rsidR="00EA63FD" w:rsidRPr="00BB6FE0" w:rsidRDefault="00BB6FE0" w:rsidP="00BA7012">
      <w:pPr>
        <w:pStyle w:val="Footnote"/>
        <w:ind w:left="425" w:hanging="425"/>
        <w:jc w:val="both"/>
      </w:pPr>
      <w:r>
        <w:t xml:space="preserve">Note </w:t>
      </w:r>
      <w:r w:rsidR="00BA7012">
        <w:t>4</w:t>
      </w:r>
      <w:r>
        <w:tab/>
      </w:r>
      <w:r w:rsidR="00EA63FD" w:rsidRPr="00BB6FE0">
        <w:t>Removes finance costs in the year relating to shareholder loans capitalised on Admission</w:t>
      </w:r>
      <w:r w:rsidR="00BA7012">
        <w:t>.</w:t>
      </w:r>
    </w:p>
    <w:p w14:paraId="58A8C674" w14:textId="11A2D4F4" w:rsidR="00EA63FD" w:rsidRPr="00BB6FE0" w:rsidRDefault="007A1535" w:rsidP="00BA7012">
      <w:pPr>
        <w:pStyle w:val="Footnote"/>
        <w:ind w:left="425" w:hanging="425"/>
        <w:jc w:val="both"/>
      </w:pPr>
      <w:r>
        <w:t>Note 5</w:t>
      </w:r>
      <w:r w:rsidR="00BB6FE0">
        <w:tab/>
      </w:r>
      <w:r w:rsidR="00EA63FD" w:rsidRPr="00BB6FE0">
        <w:t>Reduces bank finance costs</w:t>
      </w:r>
      <w:r w:rsidR="007E4E47">
        <w:t>;</w:t>
      </w:r>
      <w:r w:rsidR="00EA63FD" w:rsidRPr="00BB6FE0">
        <w:t xml:space="preserve"> revised costs calculated as if the bank refinancing had occurred on 1 January 2014 and the new loan facility had been entered into on that date</w:t>
      </w:r>
      <w:r w:rsidR="00C123CC">
        <w:t>.</w:t>
      </w:r>
    </w:p>
    <w:p w14:paraId="5DD22DB9" w14:textId="636336DF" w:rsidR="00EA63FD" w:rsidRPr="00BB6FE0" w:rsidRDefault="00BB6FE0" w:rsidP="00BA7012">
      <w:pPr>
        <w:pStyle w:val="Footnote"/>
        <w:ind w:left="425" w:hanging="425"/>
        <w:jc w:val="both"/>
      </w:pPr>
      <w:r>
        <w:t xml:space="preserve">Note </w:t>
      </w:r>
      <w:r w:rsidR="00ED03DD">
        <w:t>6</w:t>
      </w:r>
      <w:r>
        <w:tab/>
      </w:r>
      <w:r w:rsidR="00B15F8B">
        <w:t xml:space="preserve">For 2015, reported tax charge for the </w:t>
      </w:r>
      <w:r w:rsidR="00B9292D">
        <w:t xml:space="preserve">year </w:t>
      </w:r>
      <w:r w:rsidR="00B15F8B">
        <w:t>is adjusted for the tax effect of exceptional items.</w:t>
      </w:r>
      <w:r w:rsidR="00B15F8B" w:rsidRPr="00BB6FE0">
        <w:t xml:space="preserve"> </w:t>
      </w:r>
      <w:r w:rsidR="00B9292D">
        <w:t xml:space="preserve">For 2014, </w:t>
      </w:r>
      <w:r w:rsidR="009C3182">
        <w:t>t</w:t>
      </w:r>
      <w:r w:rsidR="00EA63FD" w:rsidRPr="00BB6FE0">
        <w:t xml:space="preserve">axation is </w:t>
      </w:r>
      <w:r w:rsidR="009C3182">
        <w:t xml:space="preserve">adjusted to eliminate the tax originally charged/credited to the income statement, </w:t>
      </w:r>
      <w:r w:rsidR="00EA63FD" w:rsidRPr="00BB6FE0">
        <w:t>calculated at 21.5%</w:t>
      </w:r>
      <w:r w:rsidR="009C3182">
        <w:t xml:space="preserve">, </w:t>
      </w:r>
      <w:r w:rsidR="00C7614C">
        <w:t>before taking account of available tax losses</w:t>
      </w:r>
      <w:r w:rsidR="00B15F8B">
        <w:t>.</w:t>
      </w:r>
    </w:p>
    <w:p w14:paraId="6BDB807B" w14:textId="77777777" w:rsidR="00EA63FD" w:rsidRPr="00B650D8" w:rsidRDefault="00EA63FD" w:rsidP="00B650D8">
      <w:pPr>
        <w:pStyle w:val="Footnote"/>
      </w:pPr>
    </w:p>
    <w:p w14:paraId="2DAF9A68" w14:textId="6B421971" w:rsidR="00B650D8" w:rsidRPr="00B650D8" w:rsidRDefault="00B650D8" w:rsidP="00B650D8">
      <w:pPr>
        <w:jc w:val="both"/>
      </w:pPr>
      <w:r>
        <w:t>Other than the adjustments detailed above, no other adjustments have been made for events occurring after 31 December 2014.</w:t>
      </w:r>
    </w:p>
    <w:p w14:paraId="38CFB38A" w14:textId="77777777" w:rsidR="001250C9" w:rsidRDefault="001250C9">
      <w:pPr>
        <w:spacing w:after="160" w:line="259" w:lineRule="auto"/>
        <w:rPr>
          <w:rFonts w:asciiTheme="majorHAnsi" w:eastAsiaTheme="majorEastAsia" w:hAnsiTheme="majorHAnsi" w:cstheme="majorBidi"/>
          <w:b/>
          <w:caps/>
          <w:color w:val="93B6BB"/>
          <w:szCs w:val="24"/>
        </w:rPr>
      </w:pPr>
      <w:r>
        <w:br w:type="page"/>
      </w:r>
    </w:p>
    <w:p w14:paraId="5816A237" w14:textId="0833071C" w:rsidR="00EA63FD" w:rsidRPr="00364452" w:rsidRDefault="00EA63FD" w:rsidP="00A016D1">
      <w:pPr>
        <w:pStyle w:val="Heading3"/>
      </w:pPr>
      <w:r w:rsidRPr="009F2075">
        <w:lastRenderedPageBreak/>
        <w:t>CASH FLOW</w:t>
      </w:r>
      <w:r w:rsidR="00A016D1">
        <w:t xml:space="preserve"> </w:t>
      </w:r>
      <w:r w:rsidRPr="00364452">
        <w:t>ANALYSIS OF CASHFLOWS IN YEAR</w:t>
      </w:r>
    </w:p>
    <w:tbl>
      <w:tblPr>
        <w:tblW w:w="9072" w:type="dxa"/>
        <w:tblLayout w:type="fixed"/>
        <w:tblCellMar>
          <w:left w:w="0" w:type="dxa"/>
          <w:right w:w="57" w:type="dxa"/>
        </w:tblCellMar>
        <w:tblLook w:val="0000" w:firstRow="0" w:lastRow="0" w:firstColumn="0" w:lastColumn="0" w:noHBand="0" w:noVBand="0"/>
      </w:tblPr>
      <w:tblGrid>
        <w:gridCol w:w="7207"/>
        <w:gridCol w:w="932"/>
        <w:gridCol w:w="933"/>
      </w:tblGrid>
      <w:tr w:rsidR="00EA63FD" w:rsidRPr="009F2075" w14:paraId="0F4F63C8" w14:textId="77777777" w:rsidTr="001250C9">
        <w:tc>
          <w:tcPr>
            <w:tcW w:w="7207" w:type="dxa"/>
            <w:tcBorders>
              <w:left w:val="nil"/>
              <w:bottom w:val="single" w:sz="4" w:space="0" w:color="93B7BB"/>
              <w:right w:val="nil"/>
            </w:tcBorders>
            <w:shd w:val="clear" w:color="auto" w:fill="auto"/>
            <w:vAlign w:val="bottom"/>
          </w:tcPr>
          <w:p w14:paraId="7759F770" w14:textId="77777777" w:rsidR="00EA63FD" w:rsidRPr="00BB6FE0" w:rsidRDefault="00EA63FD" w:rsidP="00EA63FD">
            <w:pPr>
              <w:pStyle w:val="Tableheading"/>
              <w:rPr>
                <w:rFonts w:ascii="Calibri" w:hAnsi="Calibri" w:cs="Calibri"/>
                <w:b/>
                <w:bCs/>
                <w:spacing w:val="-5"/>
                <w:w w:val="110"/>
              </w:rPr>
            </w:pPr>
            <w:r w:rsidRPr="00BB6FE0">
              <w:rPr>
                <w:b/>
                <w:bCs/>
                <w:spacing w:val="-2"/>
              </w:rPr>
              <w:t>(£</w:t>
            </w:r>
            <w:r w:rsidRPr="00BB6FE0">
              <w:rPr>
                <w:b/>
                <w:bCs/>
                <w:spacing w:val="-6"/>
              </w:rPr>
              <w:t xml:space="preserve"> </w:t>
            </w:r>
            <w:r w:rsidRPr="00BB6FE0">
              <w:rPr>
                <w:b/>
                <w:bCs/>
              </w:rPr>
              <w:t>milli</w:t>
            </w:r>
            <w:r w:rsidRPr="00BB6FE0">
              <w:rPr>
                <w:b/>
                <w:bCs/>
                <w:spacing w:val="-2"/>
              </w:rPr>
              <w:t>o</w:t>
            </w:r>
            <w:r w:rsidRPr="00BB6FE0">
              <w:rPr>
                <w:b/>
                <w:bCs/>
              </w:rPr>
              <w:t>n</w:t>
            </w:r>
            <w:r w:rsidRPr="00BB6FE0">
              <w:rPr>
                <w:b/>
                <w:bCs/>
                <w:spacing w:val="-2"/>
              </w:rPr>
              <w:t>)</w:t>
            </w:r>
          </w:p>
        </w:tc>
        <w:tc>
          <w:tcPr>
            <w:tcW w:w="932" w:type="dxa"/>
            <w:tcBorders>
              <w:left w:val="nil"/>
              <w:bottom w:val="single" w:sz="4" w:space="0" w:color="93B7BB"/>
              <w:right w:val="nil"/>
            </w:tcBorders>
            <w:shd w:val="clear" w:color="auto" w:fill="auto"/>
            <w:vAlign w:val="bottom"/>
          </w:tcPr>
          <w:p w14:paraId="51766D43" w14:textId="230A542F" w:rsidR="00EA63FD" w:rsidRPr="00BB6FE0" w:rsidRDefault="00EA63FD" w:rsidP="001250C9">
            <w:pPr>
              <w:pStyle w:val="Tableheading"/>
              <w:jc w:val="right"/>
              <w:rPr>
                <w:rFonts w:ascii="Calibri" w:hAnsi="Calibri" w:cs="Calibri"/>
                <w:b/>
                <w:bCs/>
              </w:rPr>
            </w:pPr>
            <w:r w:rsidRPr="00BB6FE0">
              <w:rPr>
                <w:b/>
                <w:bCs/>
              </w:rPr>
              <w:t>201</w:t>
            </w:r>
            <w:r w:rsidR="001250C9">
              <w:rPr>
                <w:b/>
                <w:bCs/>
              </w:rPr>
              <w:t>5</w:t>
            </w:r>
          </w:p>
        </w:tc>
        <w:tc>
          <w:tcPr>
            <w:tcW w:w="933" w:type="dxa"/>
            <w:tcBorders>
              <w:left w:val="nil"/>
              <w:bottom w:val="single" w:sz="4" w:space="0" w:color="93B7BB"/>
              <w:right w:val="nil"/>
            </w:tcBorders>
            <w:shd w:val="clear" w:color="auto" w:fill="auto"/>
            <w:vAlign w:val="bottom"/>
          </w:tcPr>
          <w:p w14:paraId="474A7AA2" w14:textId="2EE9C9AA" w:rsidR="00EA63FD" w:rsidRPr="00BB6FE0" w:rsidRDefault="00EA63FD" w:rsidP="001250C9">
            <w:pPr>
              <w:pStyle w:val="Tableheading"/>
              <w:jc w:val="right"/>
              <w:rPr>
                <w:rFonts w:ascii="Calibri" w:hAnsi="Calibri" w:cs="Calibri"/>
                <w:spacing w:val="-4"/>
              </w:rPr>
            </w:pPr>
            <w:r w:rsidRPr="00BB6FE0">
              <w:t>201</w:t>
            </w:r>
            <w:r w:rsidR="001250C9">
              <w:t>4</w:t>
            </w:r>
          </w:p>
        </w:tc>
      </w:tr>
      <w:tr w:rsidR="001250C9" w:rsidRPr="009F2075" w14:paraId="36F47D84" w14:textId="77777777" w:rsidTr="001250C9">
        <w:tc>
          <w:tcPr>
            <w:tcW w:w="7207" w:type="dxa"/>
            <w:tcBorders>
              <w:top w:val="single" w:sz="4" w:space="0" w:color="93B7BB"/>
              <w:left w:val="nil"/>
              <w:bottom w:val="single" w:sz="2" w:space="0" w:color="93B7BB"/>
              <w:right w:val="nil"/>
            </w:tcBorders>
          </w:tcPr>
          <w:p w14:paraId="73B3BBB5" w14:textId="77777777" w:rsidR="001250C9" w:rsidRPr="004447F5" w:rsidRDefault="001250C9" w:rsidP="00EA63FD">
            <w:pPr>
              <w:pStyle w:val="Tabletext"/>
            </w:pPr>
            <w:r w:rsidRPr="004447F5">
              <w:rPr>
                <w:w w:val="110"/>
              </w:rPr>
              <w:t>Ope</w:t>
            </w:r>
            <w:r w:rsidRPr="004447F5">
              <w:rPr>
                <w:spacing w:val="-4"/>
                <w:w w:val="110"/>
              </w:rPr>
              <w:t>ning</w:t>
            </w:r>
            <w:r w:rsidRPr="004447F5">
              <w:rPr>
                <w:spacing w:val="-26"/>
                <w:w w:val="110"/>
              </w:rPr>
              <w:t xml:space="preserve"> </w:t>
            </w:r>
            <w:r w:rsidRPr="004447F5">
              <w:rPr>
                <w:w w:val="110"/>
              </w:rPr>
              <w:t>ca</w:t>
            </w:r>
            <w:r w:rsidRPr="004447F5">
              <w:rPr>
                <w:spacing w:val="-4"/>
                <w:w w:val="110"/>
              </w:rPr>
              <w:t>sh</w:t>
            </w:r>
            <w:r w:rsidRPr="004447F5">
              <w:rPr>
                <w:spacing w:val="-25"/>
                <w:w w:val="110"/>
              </w:rPr>
              <w:t xml:space="preserve"> </w:t>
            </w:r>
            <w:r w:rsidRPr="004447F5">
              <w:rPr>
                <w:w w:val="110"/>
              </w:rPr>
              <w:t>balance</w:t>
            </w:r>
          </w:p>
        </w:tc>
        <w:tc>
          <w:tcPr>
            <w:tcW w:w="932" w:type="dxa"/>
            <w:tcBorders>
              <w:top w:val="single" w:sz="4" w:space="0" w:color="93B7BB"/>
              <w:left w:val="nil"/>
              <w:bottom w:val="single" w:sz="2" w:space="0" w:color="93B7BB"/>
              <w:right w:val="nil"/>
            </w:tcBorders>
            <w:shd w:val="clear" w:color="auto" w:fill="EFF4F5"/>
            <w:vAlign w:val="bottom"/>
          </w:tcPr>
          <w:p w14:paraId="5134F69B" w14:textId="28A46F9A" w:rsidR="001250C9" w:rsidRPr="00A016D1" w:rsidRDefault="00A016D1" w:rsidP="00EA63FD">
            <w:pPr>
              <w:pStyle w:val="Tabletext"/>
              <w:jc w:val="right"/>
              <w:rPr>
                <w:b/>
              </w:rPr>
            </w:pPr>
            <w:r w:rsidRPr="00A016D1">
              <w:rPr>
                <w:b/>
              </w:rPr>
              <w:t>74.5</w:t>
            </w:r>
          </w:p>
        </w:tc>
        <w:tc>
          <w:tcPr>
            <w:tcW w:w="933" w:type="dxa"/>
            <w:tcBorders>
              <w:top w:val="single" w:sz="4" w:space="0" w:color="93B7BB"/>
              <w:left w:val="nil"/>
              <w:bottom w:val="single" w:sz="2" w:space="0" w:color="93B7BB"/>
              <w:right w:val="nil"/>
            </w:tcBorders>
            <w:vAlign w:val="bottom"/>
          </w:tcPr>
          <w:p w14:paraId="77E568DA" w14:textId="61EC78EC" w:rsidR="001250C9" w:rsidRPr="001250C9" w:rsidRDefault="001250C9" w:rsidP="00EA63FD">
            <w:pPr>
              <w:pStyle w:val="Tabletext"/>
              <w:jc w:val="right"/>
            </w:pPr>
            <w:r w:rsidRPr="001250C9">
              <w:rPr>
                <w:bCs/>
                <w:spacing w:val="-1"/>
              </w:rPr>
              <w:t>111</w:t>
            </w:r>
            <w:r w:rsidRPr="001250C9">
              <w:rPr>
                <w:bCs/>
              </w:rPr>
              <w:t>.</w:t>
            </w:r>
            <w:r w:rsidRPr="001250C9">
              <w:rPr>
                <w:bCs/>
                <w:spacing w:val="-1"/>
              </w:rPr>
              <w:t>5</w:t>
            </w:r>
          </w:p>
        </w:tc>
      </w:tr>
      <w:tr w:rsidR="001250C9" w:rsidRPr="009F2075" w14:paraId="0D7EC232" w14:textId="77777777" w:rsidTr="001C4EA8">
        <w:tc>
          <w:tcPr>
            <w:tcW w:w="7207" w:type="dxa"/>
            <w:tcBorders>
              <w:top w:val="single" w:sz="2" w:space="0" w:color="93B7BB"/>
              <w:left w:val="nil"/>
              <w:right w:val="nil"/>
            </w:tcBorders>
          </w:tcPr>
          <w:p w14:paraId="5C7FF06A" w14:textId="40FCC22A" w:rsidR="001250C9" w:rsidRPr="004518D8" w:rsidRDefault="001250C9" w:rsidP="00EA63FD">
            <w:pPr>
              <w:pStyle w:val="Tabletext"/>
              <w:rPr>
                <w:b/>
                <w:color w:val="000000"/>
              </w:rPr>
            </w:pPr>
            <w:r w:rsidRPr="004518D8">
              <w:rPr>
                <w:b/>
              </w:rPr>
              <w:t>O</w:t>
            </w:r>
            <w:r w:rsidRPr="004518D8">
              <w:rPr>
                <w:b/>
                <w:spacing w:val="-4"/>
              </w:rPr>
              <w:t>p</w:t>
            </w:r>
            <w:r w:rsidRPr="004518D8">
              <w:rPr>
                <w:b/>
              </w:rPr>
              <w:t>era</w:t>
            </w:r>
            <w:r w:rsidRPr="004518D8">
              <w:rPr>
                <w:b/>
                <w:spacing w:val="-4"/>
              </w:rPr>
              <w:t>tin</w:t>
            </w:r>
            <w:r w:rsidRPr="004518D8">
              <w:rPr>
                <w:b/>
              </w:rPr>
              <w:t>g</w:t>
            </w:r>
            <w:r w:rsidRPr="004518D8">
              <w:rPr>
                <w:b/>
                <w:spacing w:val="-15"/>
              </w:rPr>
              <w:t xml:space="preserve"> </w:t>
            </w:r>
            <w:r w:rsidRPr="004518D8">
              <w:rPr>
                <w:b/>
                <w:spacing w:val="-4"/>
              </w:rPr>
              <w:t>cas</w:t>
            </w:r>
            <w:r w:rsidRPr="004518D8">
              <w:rPr>
                <w:b/>
                <w:spacing w:val="-3"/>
              </w:rPr>
              <w:t>hflow</w:t>
            </w:r>
            <w:r w:rsidRPr="004518D8">
              <w:rPr>
                <w:b/>
                <w:spacing w:val="-15"/>
              </w:rPr>
              <w:t xml:space="preserve"> </w:t>
            </w:r>
            <w:r w:rsidRPr="004518D8">
              <w:rPr>
                <w:b/>
                <w:spacing w:val="-3"/>
              </w:rPr>
              <w:t>b</w:t>
            </w:r>
            <w:r w:rsidRPr="004518D8">
              <w:rPr>
                <w:b/>
                <w:spacing w:val="-4"/>
              </w:rPr>
              <w:t>e</w:t>
            </w:r>
            <w:r w:rsidRPr="004518D8">
              <w:rPr>
                <w:b/>
                <w:spacing w:val="-3"/>
              </w:rPr>
              <w:t>fo</w:t>
            </w:r>
            <w:r w:rsidRPr="004518D8">
              <w:rPr>
                <w:b/>
                <w:spacing w:val="-4"/>
              </w:rPr>
              <w:t>re</w:t>
            </w:r>
            <w:r w:rsidRPr="004518D8">
              <w:rPr>
                <w:b/>
                <w:spacing w:val="-15"/>
              </w:rPr>
              <w:t xml:space="preserve"> </w:t>
            </w:r>
            <w:r w:rsidRPr="004518D8">
              <w:rPr>
                <w:b/>
              </w:rPr>
              <w:t>e</w:t>
            </w:r>
            <w:r w:rsidRPr="004518D8">
              <w:rPr>
                <w:b/>
                <w:spacing w:val="-4"/>
              </w:rPr>
              <w:t>x</w:t>
            </w:r>
            <w:r w:rsidRPr="004518D8">
              <w:rPr>
                <w:b/>
              </w:rPr>
              <w:t>ce</w:t>
            </w:r>
            <w:r w:rsidRPr="004518D8">
              <w:rPr>
                <w:b/>
                <w:spacing w:val="-4"/>
              </w:rPr>
              <w:t>ption</w:t>
            </w:r>
            <w:r w:rsidRPr="004518D8">
              <w:rPr>
                <w:b/>
              </w:rPr>
              <w:t>a</w:t>
            </w:r>
            <w:r w:rsidRPr="004518D8">
              <w:rPr>
                <w:b/>
                <w:spacing w:val="-4"/>
              </w:rPr>
              <w:t>l</w:t>
            </w:r>
            <w:r w:rsidRPr="004518D8">
              <w:rPr>
                <w:b/>
                <w:spacing w:val="-14"/>
              </w:rPr>
              <w:t xml:space="preserve"> </w:t>
            </w:r>
            <w:r w:rsidRPr="004518D8">
              <w:rPr>
                <w:b/>
                <w:spacing w:val="-4"/>
              </w:rPr>
              <w:t>it</w:t>
            </w:r>
            <w:r w:rsidRPr="004518D8">
              <w:rPr>
                <w:b/>
              </w:rPr>
              <w:t>e</w:t>
            </w:r>
            <w:r w:rsidRPr="004518D8">
              <w:rPr>
                <w:b/>
                <w:spacing w:val="-4"/>
              </w:rPr>
              <w:t>m</w:t>
            </w:r>
            <w:r w:rsidRPr="004518D8">
              <w:rPr>
                <w:b/>
              </w:rPr>
              <w:t>s</w:t>
            </w:r>
            <w:r w:rsidR="004518D8" w:rsidRPr="004518D8">
              <w:rPr>
                <w:b/>
              </w:rPr>
              <w:t xml:space="preserve"> and income tax paid</w:t>
            </w:r>
          </w:p>
        </w:tc>
        <w:tc>
          <w:tcPr>
            <w:tcW w:w="932" w:type="dxa"/>
            <w:tcBorders>
              <w:top w:val="single" w:sz="2" w:space="0" w:color="93B7BB"/>
              <w:left w:val="nil"/>
              <w:right w:val="nil"/>
            </w:tcBorders>
            <w:shd w:val="clear" w:color="auto" w:fill="EFF4F5"/>
            <w:vAlign w:val="bottom"/>
          </w:tcPr>
          <w:p w14:paraId="33370CF1" w14:textId="623C5A43" w:rsidR="001250C9" w:rsidRPr="00A016D1" w:rsidRDefault="00A016D1" w:rsidP="001C4EA8">
            <w:pPr>
              <w:pStyle w:val="Tabletext"/>
              <w:jc w:val="right"/>
              <w:rPr>
                <w:b/>
              </w:rPr>
            </w:pPr>
            <w:r w:rsidRPr="00A016D1">
              <w:rPr>
                <w:b/>
              </w:rPr>
              <w:t>1</w:t>
            </w:r>
            <w:r w:rsidR="001C4EA8">
              <w:rPr>
                <w:b/>
              </w:rPr>
              <w:t>66</w:t>
            </w:r>
            <w:r w:rsidRPr="00A016D1">
              <w:rPr>
                <w:b/>
              </w:rPr>
              <w:t>.</w:t>
            </w:r>
            <w:r w:rsidR="001C4EA8">
              <w:rPr>
                <w:b/>
              </w:rPr>
              <w:t>7</w:t>
            </w:r>
          </w:p>
        </w:tc>
        <w:tc>
          <w:tcPr>
            <w:tcW w:w="933" w:type="dxa"/>
            <w:tcBorders>
              <w:top w:val="single" w:sz="2" w:space="0" w:color="93B7BB"/>
              <w:left w:val="nil"/>
              <w:right w:val="nil"/>
            </w:tcBorders>
            <w:vAlign w:val="bottom"/>
          </w:tcPr>
          <w:p w14:paraId="61F84BBF" w14:textId="26D320E2" w:rsidR="001250C9" w:rsidRPr="001250C9" w:rsidRDefault="001250C9" w:rsidP="00EA63FD">
            <w:pPr>
              <w:pStyle w:val="Tabletext"/>
              <w:jc w:val="right"/>
              <w:rPr>
                <w:color w:val="000000"/>
              </w:rPr>
            </w:pPr>
            <w:r w:rsidRPr="001250C9">
              <w:rPr>
                <w:bCs/>
                <w:spacing w:val="-1"/>
              </w:rPr>
              <w:t>164</w:t>
            </w:r>
            <w:r w:rsidRPr="001250C9">
              <w:rPr>
                <w:bCs/>
              </w:rPr>
              <w:t>.</w:t>
            </w:r>
            <w:r w:rsidRPr="001250C9">
              <w:rPr>
                <w:bCs/>
                <w:spacing w:val="-1"/>
              </w:rPr>
              <w:t>2</w:t>
            </w:r>
          </w:p>
        </w:tc>
      </w:tr>
      <w:tr w:rsidR="001C4EA8" w:rsidRPr="009F2075" w14:paraId="021B1410" w14:textId="77777777" w:rsidTr="001C4EA8">
        <w:tc>
          <w:tcPr>
            <w:tcW w:w="7207" w:type="dxa"/>
            <w:tcBorders>
              <w:left w:val="nil"/>
              <w:right w:val="nil"/>
            </w:tcBorders>
          </w:tcPr>
          <w:p w14:paraId="3FF55AE4" w14:textId="53EF8A2D" w:rsidR="001C4EA8" w:rsidRPr="004447F5" w:rsidRDefault="001C4EA8" w:rsidP="00EA63FD">
            <w:pPr>
              <w:pStyle w:val="Tabletext"/>
            </w:pPr>
            <w:r w:rsidRPr="004447F5">
              <w:t>E</w:t>
            </w:r>
            <w:r w:rsidRPr="004447F5">
              <w:rPr>
                <w:spacing w:val="-4"/>
              </w:rPr>
              <w:t>x</w:t>
            </w:r>
            <w:r w:rsidRPr="004447F5">
              <w:t>cep</w:t>
            </w:r>
            <w:r w:rsidRPr="004447F5">
              <w:rPr>
                <w:spacing w:val="-4"/>
              </w:rPr>
              <w:t>ti</w:t>
            </w:r>
            <w:r w:rsidRPr="004447F5">
              <w:t>o</w:t>
            </w:r>
            <w:r w:rsidRPr="004447F5">
              <w:rPr>
                <w:spacing w:val="-4"/>
              </w:rPr>
              <w:t>nal</w:t>
            </w:r>
            <w:r w:rsidRPr="004447F5">
              <w:rPr>
                <w:spacing w:val="21"/>
              </w:rPr>
              <w:t xml:space="preserve"> </w:t>
            </w:r>
            <w:r w:rsidRPr="004447F5">
              <w:rPr>
                <w:spacing w:val="-4"/>
              </w:rPr>
              <w:t>items</w:t>
            </w:r>
          </w:p>
        </w:tc>
        <w:tc>
          <w:tcPr>
            <w:tcW w:w="932" w:type="dxa"/>
            <w:tcBorders>
              <w:left w:val="nil"/>
              <w:right w:val="nil"/>
            </w:tcBorders>
            <w:shd w:val="clear" w:color="auto" w:fill="EFF4F5"/>
            <w:vAlign w:val="bottom"/>
          </w:tcPr>
          <w:p w14:paraId="42ACB817" w14:textId="449D0993" w:rsidR="001C4EA8" w:rsidRDefault="001C4EA8" w:rsidP="00EA63FD">
            <w:pPr>
              <w:pStyle w:val="Tabletext"/>
              <w:jc w:val="right"/>
              <w:rPr>
                <w:b/>
              </w:rPr>
            </w:pPr>
            <w:r>
              <w:rPr>
                <w:b/>
              </w:rPr>
              <w:t>(4.5)</w:t>
            </w:r>
          </w:p>
        </w:tc>
        <w:tc>
          <w:tcPr>
            <w:tcW w:w="933" w:type="dxa"/>
            <w:tcBorders>
              <w:left w:val="nil"/>
              <w:right w:val="nil"/>
            </w:tcBorders>
            <w:vAlign w:val="bottom"/>
          </w:tcPr>
          <w:p w14:paraId="771F2D55" w14:textId="57851408" w:rsidR="001C4EA8" w:rsidRPr="001250C9" w:rsidRDefault="001C4EA8" w:rsidP="00EA63FD">
            <w:pPr>
              <w:pStyle w:val="Tabletext"/>
              <w:jc w:val="right"/>
              <w:rPr>
                <w:bCs/>
                <w:spacing w:val="-4"/>
              </w:rPr>
            </w:pPr>
            <w:r w:rsidRPr="001250C9">
              <w:rPr>
                <w:bCs/>
                <w:spacing w:val="-4"/>
              </w:rPr>
              <w:t>(</w:t>
            </w:r>
            <w:r w:rsidRPr="001250C9">
              <w:rPr>
                <w:bCs/>
                <w:spacing w:val="-3"/>
              </w:rPr>
              <w:t>51</w:t>
            </w:r>
            <w:r w:rsidRPr="001250C9">
              <w:rPr>
                <w:bCs/>
                <w:spacing w:val="-4"/>
              </w:rPr>
              <w:t>.</w:t>
            </w:r>
            <w:r w:rsidRPr="001250C9">
              <w:rPr>
                <w:bCs/>
                <w:spacing w:val="-3"/>
              </w:rPr>
              <w:t>2</w:t>
            </w:r>
            <w:r w:rsidRPr="001250C9">
              <w:rPr>
                <w:bCs/>
                <w:spacing w:val="-4"/>
              </w:rPr>
              <w:t>)</w:t>
            </w:r>
          </w:p>
        </w:tc>
      </w:tr>
      <w:tr w:rsidR="001C4EA8" w:rsidRPr="009F2075" w14:paraId="26B7F021" w14:textId="77777777" w:rsidTr="001C4EA8">
        <w:tc>
          <w:tcPr>
            <w:tcW w:w="7207" w:type="dxa"/>
            <w:tcBorders>
              <w:left w:val="nil"/>
              <w:bottom w:val="single" w:sz="2" w:space="0" w:color="93B7BB"/>
              <w:right w:val="nil"/>
            </w:tcBorders>
          </w:tcPr>
          <w:p w14:paraId="52ECA98A" w14:textId="050CD7EB" w:rsidR="001C4EA8" w:rsidRPr="004447F5" w:rsidRDefault="001C4EA8" w:rsidP="00EA63FD">
            <w:pPr>
              <w:pStyle w:val="Tabletext"/>
            </w:pPr>
            <w:r>
              <w:t>Income tax paid</w:t>
            </w:r>
          </w:p>
        </w:tc>
        <w:tc>
          <w:tcPr>
            <w:tcW w:w="932" w:type="dxa"/>
            <w:tcBorders>
              <w:left w:val="nil"/>
              <w:bottom w:val="single" w:sz="2" w:space="0" w:color="93B7BB"/>
              <w:right w:val="nil"/>
            </w:tcBorders>
            <w:shd w:val="clear" w:color="auto" w:fill="EFF4F5"/>
            <w:vAlign w:val="bottom"/>
          </w:tcPr>
          <w:p w14:paraId="5C3107DF" w14:textId="14DE675E" w:rsidR="001C4EA8" w:rsidRPr="00A016D1" w:rsidRDefault="001C4EA8" w:rsidP="001C4EA8">
            <w:pPr>
              <w:pStyle w:val="Tabletext"/>
              <w:jc w:val="right"/>
              <w:rPr>
                <w:b/>
              </w:rPr>
            </w:pPr>
            <w:r>
              <w:rPr>
                <w:b/>
              </w:rPr>
              <w:t>(6.9)</w:t>
            </w:r>
          </w:p>
        </w:tc>
        <w:tc>
          <w:tcPr>
            <w:tcW w:w="933" w:type="dxa"/>
            <w:tcBorders>
              <w:left w:val="nil"/>
              <w:bottom w:val="single" w:sz="2" w:space="0" w:color="93B7BB"/>
              <w:right w:val="nil"/>
            </w:tcBorders>
            <w:vAlign w:val="bottom"/>
          </w:tcPr>
          <w:p w14:paraId="6007CFB3" w14:textId="5D51498A" w:rsidR="001C4EA8" w:rsidRPr="001250C9" w:rsidRDefault="001C4EA8" w:rsidP="00EA63FD">
            <w:pPr>
              <w:pStyle w:val="Tabletext"/>
              <w:jc w:val="right"/>
              <w:rPr>
                <w:spacing w:val="-1"/>
              </w:rPr>
            </w:pPr>
            <w:r w:rsidRPr="008128D4">
              <w:t>–</w:t>
            </w:r>
          </w:p>
        </w:tc>
      </w:tr>
      <w:tr w:rsidR="001C4EA8" w:rsidRPr="009F2075" w14:paraId="10A0B3C2" w14:textId="77777777" w:rsidTr="001250C9">
        <w:tc>
          <w:tcPr>
            <w:tcW w:w="7207" w:type="dxa"/>
            <w:tcBorders>
              <w:top w:val="single" w:sz="2" w:space="0" w:color="93B7BB"/>
              <w:left w:val="nil"/>
              <w:bottom w:val="nil"/>
              <w:right w:val="nil"/>
            </w:tcBorders>
          </w:tcPr>
          <w:p w14:paraId="7983DD41" w14:textId="77777777" w:rsidR="001C4EA8" w:rsidRPr="004447F5" w:rsidRDefault="001C4EA8" w:rsidP="00EA63FD">
            <w:pPr>
              <w:pStyle w:val="Tabletext"/>
            </w:pPr>
            <w:r w:rsidRPr="004447F5">
              <w:t>O</w:t>
            </w:r>
            <w:r w:rsidRPr="004447F5">
              <w:rPr>
                <w:spacing w:val="-4"/>
              </w:rPr>
              <w:t>p</w:t>
            </w:r>
            <w:r w:rsidRPr="004447F5">
              <w:t>era</w:t>
            </w:r>
            <w:r w:rsidRPr="004447F5">
              <w:rPr>
                <w:spacing w:val="-4"/>
              </w:rPr>
              <w:t>tin</w:t>
            </w:r>
            <w:r w:rsidRPr="004447F5">
              <w:t>g</w:t>
            </w:r>
            <w:r w:rsidRPr="004447F5">
              <w:rPr>
                <w:spacing w:val="-13"/>
              </w:rPr>
              <w:t xml:space="preserve"> </w:t>
            </w:r>
            <w:r w:rsidRPr="004447F5">
              <w:rPr>
                <w:spacing w:val="-4"/>
              </w:rPr>
              <w:t>cas</w:t>
            </w:r>
            <w:r w:rsidRPr="004447F5">
              <w:rPr>
                <w:spacing w:val="-3"/>
              </w:rPr>
              <w:t>hflow</w:t>
            </w:r>
            <w:r w:rsidRPr="004447F5">
              <w:rPr>
                <w:spacing w:val="-12"/>
              </w:rPr>
              <w:t xml:space="preserve"> </w:t>
            </w:r>
            <w:r w:rsidRPr="004447F5">
              <w:rPr>
                <w:spacing w:val="-3"/>
              </w:rPr>
              <w:t>a</w:t>
            </w:r>
            <w:r w:rsidRPr="004447F5">
              <w:t>ft</w:t>
            </w:r>
            <w:r w:rsidRPr="004447F5">
              <w:rPr>
                <w:spacing w:val="-3"/>
              </w:rPr>
              <w:t>er</w:t>
            </w:r>
            <w:r w:rsidRPr="004447F5">
              <w:rPr>
                <w:spacing w:val="-13"/>
              </w:rPr>
              <w:t xml:space="preserve"> </w:t>
            </w:r>
            <w:r w:rsidRPr="004447F5">
              <w:t>e</w:t>
            </w:r>
            <w:r w:rsidRPr="004447F5">
              <w:rPr>
                <w:spacing w:val="-4"/>
              </w:rPr>
              <w:t>x</w:t>
            </w:r>
            <w:r w:rsidRPr="004447F5">
              <w:t>ce</w:t>
            </w:r>
            <w:r w:rsidRPr="004447F5">
              <w:rPr>
                <w:spacing w:val="-4"/>
              </w:rPr>
              <w:t>ption</w:t>
            </w:r>
            <w:r w:rsidRPr="004447F5">
              <w:t>a</w:t>
            </w:r>
            <w:r w:rsidRPr="004447F5">
              <w:rPr>
                <w:spacing w:val="-4"/>
              </w:rPr>
              <w:t>l</w:t>
            </w:r>
            <w:r w:rsidRPr="004447F5">
              <w:rPr>
                <w:spacing w:val="-12"/>
              </w:rPr>
              <w:t xml:space="preserve"> </w:t>
            </w:r>
            <w:r w:rsidRPr="004447F5">
              <w:rPr>
                <w:spacing w:val="-4"/>
              </w:rPr>
              <w:t>it</w:t>
            </w:r>
            <w:r w:rsidRPr="004447F5">
              <w:t>e</w:t>
            </w:r>
            <w:r w:rsidRPr="004447F5">
              <w:rPr>
                <w:spacing w:val="-4"/>
              </w:rPr>
              <w:t>m</w:t>
            </w:r>
            <w:r w:rsidRPr="004447F5">
              <w:t>s</w:t>
            </w:r>
          </w:p>
        </w:tc>
        <w:tc>
          <w:tcPr>
            <w:tcW w:w="932" w:type="dxa"/>
            <w:tcBorders>
              <w:top w:val="single" w:sz="2" w:space="0" w:color="93B7BB"/>
              <w:left w:val="nil"/>
              <w:bottom w:val="nil"/>
              <w:right w:val="nil"/>
            </w:tcBorders>
            <w:shd w:val="clear" w:color="auto" w:fill="EFF4F5"/>
            <w:vAlign w:val="bottom"/>
          </w:tcPr>
          <w:p w14:paraId="52CBFA74" w14:textId="5284664B" w:rsidR="001C4EA8" w:rsidRPr="00A016D1" w:rsidRDefault="001C4EA8" w:rsidP="00EA63FD">
            <w:pPr>
              <w:pStyle w:val="Tabletext"/>
              <w:jc w:val="right"/>
              <w:rPr>
                <w:b/>
              </w:rPr>
            </w:pPr>
            <w:r>
              <w:rPr>
                <w:b/>
              </w:rPr>
              <w:t>155.3</w:t>
            </w:r>
          </w:p>
        </w:tc>
        <w:tc>
          <w:tcPr>
            <w:tcW w:w="933" w:type="dxa"/>
            <w:tcBorders>
              <w:top w:val="single" w:sz="2" w:space="0" w:color="93B7BB"/>
              <w:left w:val="nil"/>
              <w:bottom w:val="nil"/>
              <w:right w:val="nil"/>
            </w:tcBorders>
            <w:vAlign w:val="bottom"/>
          </w:tcPr>
          <w:p w14:paraId="76540715" w14:textId="09BC5ED9" w:rsidR="001C4EA8" w:rsidRPr="001250C9" w:rsidRDefault="001C4EA8" w:rsidP="00EA63FD">
            <w:pPr>
              <w:pStyle w:val="Tabletext"/>
              <w:jc w:val="right"/>
            </w:pPr>
            <w:r w:rsidRPr="001250C9">
              <w:rPr>
                <w:bCs/>
                <w:spacing w:val="-3"/>
              </w:rPr>
              <w:t>113.0</w:t>
            </w:r>
          </w:p>
        </w:tc>
      </w:tr>
      <w:tr w:rsidR="001C4EA8" w:rsidRPr="009F2075" w14:paraId="60E3DDD9" w14:textId="77777777" w:rsidTr="001250C9">
        <w:tc>
          <w:tcPr>
            <w:tcW w:w="7207" w:type="dxa"/>
            <w:tcBorders>
              <w:top w:val="nil"/>
              <w:left w:val="nil"/>
              <w:bottom w:val="nil"/>
              <w:right w:val="nil"/>
            </w:tcBorders>
          </w:tcPr>
          <w:p w14:paraId="001CC829" w14:textId="27D7F650" w:rsidR="001C4EA8" w:rsidRPr="004447F5" w:rsidRDefault="001C4EA8" w:rsidP="007E6728">
            <w:pPr>
              <w:pStyle w:val="Tabletext"/>
            </w:pPr>
            <w:r w:rsidRPr="004447F5">
              <w:t>N</w:t>
            </w:r>
            <w:r w:rsidRPr="004447F5">
              <w:rPr>
                <w:spacing w:val="-3"/>
              </w:rPr>
              <w:t>e</w:t>
            </w:r>
            <w:r w:rsidRPr="004447F5">
              <w:t>t</w:t>
            </w:r>
            <w:r w:rsidRPr="004447F5">
              <w:rPr>
                <w:spacing w:val="1"/>
              </w:rPr>
              <w:t xml:space="preserve"> </w:t>
            </w:r>
            <w:r w:rsidRPr="004447F5">
              <w:t>c</w:t>
            </w:r>
            <w:r w:rsidRPr="004447F5">
              <w:rPr>
                <w:spacing w:val="-4"/>
              </w:rPr>
              <w:t>ash</w:t>
            </w:r>
            <w:r w:rsidRPr="004447F5">
              <w:rPr>
                <w:spacing w:val="1"/>
              </w:rPr>
              <w:t xml:space="preserve"> </w:t>
            </w:r>
            <w:r w:rsidRPr="007E6728">
              <w:rPr>
                <w:spacing w:val="-3"/>
              </w:rPr>
              <w:t xml:space="preserve">used in </w:t>
            </w:r>
            <w:r w:rsidRPr="007E6728">
              <w:rPr>
                <w:spacing w:val="-4"/>
              </w:rPr>
              <w:t xml:space="preserve">from </w:t>
            </w:r>
            <w:r w:rsidRPr="004447F5">
              <w:rPr>
                <w:spacing w:val="-4"/>
              </w:rPr>
              <w:t>in</w:t>
            </w:r>
            <w:r w:rsidRPr="007E6728">
              <w:rPr>
                <w:spacing w:val="-4"/>
              </w:rPr>
              <w:t>ve</w:t>
            </w:r>
            <w:r w:rsidRPr="004447F5">
              <w:rPr>
                <w:spacing w:val="-4"/>
              </w:rPr>
              <w:t>sting</w:t>
            </w:r>
            <w:r w:rsidRPr="007E6728">
              <w:rPr>
                <w:spacing w:val="-4"/>
              </w:rPr>
              <w:t xml:space="preserve"> activiti</w:t>
            </w:r>
            <w:r w:rsidRPr="004447F5">
              <w:rPr>
                <w:spacing w:val="-4"/>
              </w:rPr>
              <w:t>e</w:t>
            </w:r>
            <w:r w:rsidRPr="007E6728">
              <w:rPr>
                <w:spacing w:val="-4"/>
              </w:rPr>
              <w:t>s</w:t>
            </w:r>
          </w:p>
        </w:tc>
        <w:tc>
          <w:tcPr>
            <w:tcW w:w="932" w:type="dxa"/>
            <w:tcBorders>
              <w:top w:val="nil"/>
              <w:left w:val="nil"/>
              <w:bottom w:val="nil"/>
              <w:right w:val="nil"/>
            </w:tcBorders>
            <w:shd w:val="clear" w:color="auto" w:fill="EFF4F5"/>
            <w:vAlign w:val="bottom"/>
          </w:tcPr>
          <w:p w14:paraId="6B378696" w14:textId="33DBC802" w:rsidR="001C4EA8" w:rsidRPr="00A016D1" w:rsidRDefault="001C4EA8" w:rsidP="00EA63FD">
            <w:pPr>
              <w:pStyle w:val="Tabletext"/>
              <w:jc w:val="right"/>
              <w:rPr>
                <w:b/>
              </w:rPr>
            </w:pPr>
            <w:r>
              <w:rPr>
                <w:b/>
              </w:rPr>
              <w:t>(109.6)</w:t>
            </w:r>
          </w:p>
        </w:tc>
        <w:tc>
          <w:tcPr>
            <w:tcW w:w="933" w:type="dxa"/>
            <w:tcBorders>
              <w:top w:val="nil"/>
              <w:left w:val="nil"/>
              <w:bottom w:val="nil"/>
              <w:right w:val="nil"/>
            </w:tcBorders>
            <w:vAlign w:val="bottom"/>
          </w:tcPr>
          <w:p w14:paraId="4C332373" w14:textId="0BF62DC9" w:rsidR="001C4EA8" w:rsidRPr="001250C9" w:rsidRDefault="001C4EA8" w:rsidP="00EA63FD">
            <w:pPr>
              <w:pStyle w:val="Tabletext"/>
              <w:jc w:val="right"/>
            </w:pPr>
            <w:r w:rsidRPr="001250C9">
              <w:rPr>
                <w:bCs/>
                <w:spacing w:val="-4"/>
              </w:rPr>
              <w:t>(</w:t>
            </w:r>
            <w:r w:rsidRPr="001250C9">
              <w:rPr>
                <w:bCs/>
                <w:spacing w:val="-3"/>
              </w:rPr>
              <w:t>70</w:t>
            </w:r>
            <w:r w:rsidRPr="001250C9">
              <w:rPr>
                <w:bCs/>
                <w:spacing w:val="-4"/>
              </w:rPr>
              <w:t>.</w:t>
            </w:r>
            <w:r w:rsidRPr="001250C9">
              <w:rPr>
                <w:bCs/>
                <w:spacing w:val="-3"/>
              </w:rPr>
              <w:t>0</w:t>
            </w:r>
            <w:r w:rsidRPr="001250C9">
              <w:rPr>
                <w:bCs/>
                <w:spacing w:val="-4"/>
              </w:rPr>
              <w:t>)</w:t>
            </w:r>
          </w:p>
        </w:tc>
      </w:tr>
      <w:tr w:rsidR="001C4EA8" w:rsidRPr="009F2075" w14:paraId="08E36C90" w14:textId="77777777" w:rsidTr="001250C9">
        <w:tc>
          <w:tcPr>
            <w:tcW w:w="7207" w:type="dxa"/>
            <w:tcBorders>
              <w:top w:val="nil"/>
              <w:left w:val="nil"/>
              <w:bottom w:val="single" w:sz="2" w:space="0" w:color="93B7BB"/>
              <w:right w:val="nil"/>
            </w:tcBorders>
          </w:tcPr>
          <w:p w14:paraId="20C2BD54" w14:textId="77777777" w:rsidR="001C4EA8" w:rsidRPr="004447F5" w:rsidRDefault="001C4EA8" w:rsidP="00EA63FD">
            <w:pPr>
              <w:pStyle w:val="Tabletext"/>
            </w:pPr>
            <w:r w:rsidRPr="004447F5">
              <w:t>N</w:t>
            </w:r>
            <w:r w:rsidRPr="004447F5">
              <w:rPr>
                <w:spacing w:val="-3"/>
              </w:rPr>
              <w:t>e</w:t>
            </w:r>
            <w:r w:rsidRPr="004447F5">
              <w:t>t</w:t>
            </w:r>
            <w:r w:rsidRPr="004447F5">
              <w:rPr>
                <w:spacing w:val="-16"/>
              </w:rPr>
              <w:t xml:space="preserve"> </w:t>
            </w:r>
            <w:r w:rsidRPr="004447F5">
              <w:t>cas</w:t>
            </w:r>
            <w:r w:rsidRPr="004447F5">
              <w:rPr>
                <w:spacing w:val="-4"/>
              </w:rPr>
              <w:t>h</w:t>
            </w:r>
            <w:r w:rsidRPr="004447F5">
              <w:rPr>
                <w:spacing w:val="-15"/>
              </w:rPr>
              <w:t xml:space="preserve"> </w:t>
            </w:r>
            <w:r w:rsidRPr="004447F5">
              <w:rPr>
                <w:spacing w:val="-3"/>
              </w:rPr>
              <w:t>u</w:t>
            </w:r>
            <w:r w:rsidRPr="004447F5">
              <w:rPr>
                <w:spacing w:val="-4"/>
              </w:rPr>
              <w:t>se</w:t>
            </w:r>
            <w:r w:rsidRPr="004447F5">
              <w:rPr>
                <w:spacing w:val="-3"/>
              </w:rPr>
              <w:t>d</w:t>
            </w:r>
            <w:r w:rsidRPr="004447F5">
              <w:rPr>
                <w:spacing w:val="-15"/>
              </w:rPr>
              <w:t xml:space="preserve"> </w:t>
            </w:r>
            <w:r w:rsidRPr="007E6728">
              <w:rPr>
                <w:spacing w:val="-4"/>
              </w:rPr>
              <w:t xml:space="preserve">in financing </w:t>
            </w:r>
            <w:r w:rsidRPr="004447F5">
              <w:rPr>
                <w:spacing w:val="-4"/>
              </w:rPr>
              <w:t>ac</w:t>
            </w:r>
            <w:r w:rsidRPr="007E6728">
              <w:rPr>
                <w:spacing w:val="-4"/>
              </w:rPr>
              <w:t>ti</w:t>
            </w:r>
            <w:r w:rsidRPr="004447F5">
              <w:rPr>
                <w:spacing w:val="-4"/>
              </w:rPr>
              <w:t>v</w:t>
            </w:r>
            <w:r w:rsidRPr="007E6728">
              <w:rPr>
                <w:spacing w:val="-4"/>
              </w:rPr>
              <w:t>iti</w:t>
            </w:r>
            <w:r w:rsidRPr="004447F5">
              <w:rPr>
                <w:spacing w:val="-4"/>
              </w:rPr>
              <w:t>es</w:t>
            </w:r>
          </w:p>
        </w:tc>
        <w:tc>
          <w:tcPr>
            <w:tcW w:w="932" w:type="dxa"/>
            <w:tcBorders>
              <w:top w:val="nil"/>
              <w:left w:val="nil"/>
              <w:bottom w:val="single" w:sz="2" w:space="0" w:color="93B7BB"/>
              <w:right w:val="nil"/>
            </w:tcBorders>
            <w:shd w:val="clear" w:color="auto" w:fill="EFF4F5"/>
            <w:vAlign w:val="bottom"/>
          </w:tcPr>
          <w:p w14:paraId="69E5FDC7" w14:textId="1194C4E7" w:rsidR="001C4EA8" w:rsidRPr="00A016D1" w:rsidRDefault="001C4EA8" w:rsidP="00EA63FD">
            <w:pPr>
              <w:pStyle w:val="Tabletext"/>
              <w:jc w:val="right"/>
              <w:rPr>
                <w:b/>
              </w:rPr>
            </w:pPr>
            <w:r>
              <w:rPr>
                <w:b/>
              </w:rPr>
              <w:t>(41.3)</w:t>
            </w:r>
          </w:p>
        </w:tc>
        <w:tc>
          <w:tcPr>
            <w:tcW w:w="933" w:type="dxa"/>
            <w:tcBorders>
              <w:top w:val="nil"/>
              <w:left w:val="nil"/>
              <w:bottom w:val="single" w:sz="2" w:space="0" w:color="93B7BB"/>
              <w:right w:val="nil"/>
            </w:tcBorders>
            <w:vAlign w:val="bottom"/>
          </w:tcPr>
          <w:p w14:paraId="3745B953" w14:textId="0AE3BE3E" w:rsidR="001C4EA8" w:rsidRPr="001250C9" w:rsidRDefault="001C4EA8" w:rsidP="00EA63FD">
            <w:pPr>
              <w:pStyle w:val="Tabletext"/>
              <w:jc w:val="right"/>
            </w:pPr>
            <w:r w:rsidRPr="001250C9">
              <w:rPr>
                <w:bCs/>
              </w:rPr>
              <w:t>(80</w:t>
            </w:r>
            <w:r w:rsidRPr="001250C9">
              <w:rPr>
                <w:bCs/>
                <w:spacing w:val="-3"/>
              </w:rPr>
              <w:t>.</w:t>
            </w:r>
            <w:r w:rsidRPr="001250C9">
              <w:rPr>
                <w:bCs/>
              </w:rPr>
              <w:t>0</w:t>
            </w:r>
            <w:r w:rsidRPr="001250C9">
              <w:rPr>
                <w:bCs/>
                <w:spacing w:val="-3"/>
              </w:rPr>
              <w:t>)</w:t>
            </w:r>
          </w:p>
        </w:tc>
      </w:tr>
      <w:tr w:rsidR="001C4EA8" w:rsidRPr="009F2075" w14:paraId="3A58394C" w14:textId="77777777" w:rsidTr="001250C9">
        <w:tc>
          <w:tcPr>
            <w:tcW w:w="7207" w:type="dxa"/>
            <w:tcBorders>
              <w:top w:val="single" w:sz="2" w:space="0" w:color="93B7BB"/>
              <w:left w:val="nil"/>
              <w:bottom w:val="single" w:sz="2" w:space="0" w:color="93B7BB"/>
              <w:right w:val="nil"/>
            </w:tcBorders>
          </w:tcPr>
          <w:p w14:paraId="17C887C3" w14:textId="77777777" w:rsidR="001C4EA8" w:rsidRPr="004518D8" w:rsidRDefault="001C4EA8" w:rsidP="00EA63FD">
            <w:pPr>
              <w:pStyle w:val="Tabletext"/>
              <w:rPr>
                <w:b/>
              </w:rPr>
            </w:pPr>
            <w:r w:rsidRPr="004518D8">
              <w:rPr>
                <w:b/>
                <w:spacing w:val="-4"/>
                <w:w w:val="110"/>
              </w:rPr>
              <w:t>Cl</w:t>
            </w:r>
            <w:r w:rsidRPr="004518D8">
              <w:rPr>
                <w:b/>
                <w:w w:val="110"/>
              </w:rPr>
              <w:t>o</w:t>
            </w:r>
            <w:r w:rsidRPr="004518D8">
              <w:rPr>
                <w:b/>
                <w:spacing w:val="-4"/>
                <w:w w:val="110"/>
              </w:rPr>
              <w:t>sing</w:t>
            </w:r>
            <w:r w:rsidRPr="004518D8">
              <w:rPr>
                <w:b/>
                <w:spacing w:val="-22"/>
                <w:w w:val="110"/>
              </w:rPr>
              <w:t xml:space="preserve"> </w:t>
            </w:r>
            <w:r w:rsidRPr="004518D8">
              <w:rPr>
                <w:b/>
                <w:w w:val="110"/>
              </w:rPr>
              <w:t>ca</w:t>
            </w:r>
            <w:r w:rsidRPr="004518D8">
              <w:rPr>
                <w:b/>
                <w:spacing w:val="-4"/>
                <w:w w:val="110"/>
              </w:rPr>
              <w:t>sh</w:t>
            </w:r>
            <w:r w:rsidRPr="004518D8">
              <w:rPr>
                <w:b/>
                <w:spacing w:val="-21"/>
                <w:w w:val="110"/>
              </w:rPr>
              <w:t xml:space="preserve"> </w:t>
            </w:r>
            <w:r w:rsidRPr="004518D8">
              <w:rPr>
                <w:b/>
                <w:w w:val="110"/>
              </w:rPr>
              <w:t>balance</w:t>
            </w:r>
          </w:p>
        </w:tc>
        <w:tc>
          <w:tcPr>
            <w:tcW w:w="932" w:type="dxa"/>
            <w:tcBorders>
              <w:top w:val="single" w:sz="2" w:space="0" w:color="93B7BB"/>
              <w:left w:val="nil"/>
              <w:bottom w:val="single" w:sz="2" w:space="0" w:color="93B7BB"/>
              <w:right w:val="nil"/>
            </w:tcBorders>
            <w:shd w:val="clear" w:color="auto" w:fill="EFF4F5"/>
            <w:vAlign w:val="bottom"/>
          </w:tcPr>
          <w:p w14:paraId="030D0734" w14:textId="61DF6DD3" w:rsidR="001C4EA8" w:rsidRPr="00A016D1" w:rsidRDefault="001C4EA8" w:rsidP="00EA63FD">
            <w:pPr>
              <w:pStyle w:val="Tabletext"/>
              <w:jc w:val="right"/>
              <w:rPr>
                <w:b/>
              </w:rPr>
            </w:pPr>
            <w:r>
              <w:rPr>
                <w:b/>
              </w:rPr>
              <w:t>78.9</w:t>
            </w:r>
          </w:p>
        </w:tc>
        <w:tc>
          <w:tcPr>
            <w:tcW w:w="933" w:type="dxa"/>
            <w:tcBorders>
              <w:top w:val="single" w:sz="2" w:space="0" w:color="93B7BB"/>
              <w:left w:val="nil"/>
              <w:bottom w:val="single" w:sz="2" w:space="0" w:color="93B7BB"/>
              <w:right w:val="nil"/>
            </w:tcBorders>
            <w:vAlign w:val="bottom"/>
          </w:tcPr>
          <w:p w14:paraId="25DA14AF" w14:textId="2AB42491" w:rsidR="001C4EA8" w:rsidRPr="001250C9" w:rsidRDefault="001C4EA8" w:rsidP="00EA63FD">
            <w:pPr>
              <w:pStyle w:val="Tabletext"/>
              <w:jc w:val="right"/>
            </w:pPr>
            <w:r w:rsidRPr="001250C9">
              <w:rPr>
                <w:bCs/>
                <w:spacing w:val="-3"/>
              </w:rPr>
              <w:t>74</w:t>
            </w:r>
            <w:r w:rsidRPr="001250C9">
              <w:rPr>
                <w:bCs/>
                <w:spacing w:val="-4"/>
              </w:rPr>
              <w:t>.</w:t>
            </w:r>
            <w:r w:rsidRPr="001250C9">
              <w:rPr>
                <w:bCs/>
                <w:spacing w:val="-3"/>
              </w:rPr>
              <w:t>5</w:t>
            </w:r>
          </w:p>
        </w:tc>
      </w:tr>
      <w:tr w:rsidR="001C4EA8" w:rsidRPr="009F2075" w14:paraId="6BD14E26" w14:textId="77777777" w:rsidTr="001250C9">
        <w:tc>
          <w:tcPr>
            <w:tcW w:w="7207" w:type="dxa"/>
            <w:tcBorders>
              <w:top w:val="single" w:sz="2" w:space="0" w:color="93B7BB"/>
              <w:left w:val="nil"/>
              <w:bottom w:val="single" w:sz="4" w:space="0" w:color="93B7BB"/>
              <w:right w:val="nil"/>
            </w:tcBorders>
          </w:tcPr>
          <w:p w14:paraId="659ADA2B" w14:textId="77777777" w:rsidR="001C4EA8" w:rsidRPr="004518D8" w:rsidRDefault="001C4EA8" w:rsidP="00EA63FD">
            <w:pPr>
              <w:pStyle w:val="Tabletext"/>
              <w:rPr>
                <w:b/>
              </w:rPr>
            </w:pPr>
            <w:r w:rsidRPr="004518D8">
              <w:rPr>
                <w:b/>
                <w:spacing w:val="-4"/>
              </w:rPr>
              <w:t>Cl</w:t>
            </w:r>
            <w:r w:rsidRPr="004518D8">
              <w:rPr>
                <w:b/>
              </w:rPr>
              <w:t>o</w:t>
            </w:r>
            <w:r w:rsidRPr="004518D8">
              <w:rPr>
                <w:b/>
                <w:spacing w:val="-4"/>
              </w:rPr>
              <w:t>sing</w:t>
            </w:r>
            <w:r w:rsidRPr="004518D8">
              <w:rPr>
                <w:b/>
                <w:spacing w:val="8"/>
              </w:rPr>
              <w:t xml:space="preserve"> </w:t>
            </w:r>
            <w:r w:rsidRPr="004518D8">
              <w:rPr>
                <w:b/>
              </w:rPr>
              <w:t>net</w:t>
            </w:r>
            <w:r w:rsidRPr="004518D8">
              <w:rPr>
                <w:b/>
                <w:spacing w:val="8"/>
              </w:rPr>
              <w:t xml:space="preserve"> </w:t>
            </w:r>
            <w:r w:rsidRPr="004518D8">
              <w:rPr>
                <w:b/>
                <w:spacing w:val="-4"/>
              </w:rPr>
              <w:t>indebt</w:t>
            </w:r>
            <w:r w:rsidRPr="004518D8">
              <w:rPr>
                <w:b/>
              </w:rPr>
              <w:t>e</w:t>
            </w:r>
            <w:r w:rsidRPr="004518D8">
              <w:rPr>
                <w:b/>
                <w:spacing w:val="-4"/>
              </w:rPr>
              <w:t>dn</w:t>
            </w:r>
            <w:r w:rsidRPr="004518D8">
              <w:rPr>
                <w:b/>
              </w:rPr>
              <w:t>e</w:t>
            </w:r>
            <w:r w:rsidRPr="004518D8">
              <w:rPr>
                <w:b/>
                <w:spacing w:val="-4"/>
              </w:rPr>
              <w:t>ss</w:t>
            </w:r>
          </w:p>
        </w:tc>
        <w:tc>
          <w:tcPr>
            <w:tcW w:w="932" w:type="dxa"/>
            <w:tcBorders>
              <w:top w:val="single" w:sz="2" w:space="0" w:color="93B7BB"/>
              <w:left w:val="nil"/>
              <w:bottom w:val="single" w:sz="4" w:space="0" w:color="93B7BB"/>
              <w:right w:val="nil"/>
            </w:tcBorders>
            <w:shd w:val="clear" w:color="auto" w:fill="EFF4F5"/>
            <w:vAlign w:val="bottom"/>
          </w:tcPr>
          <w:p w14:paraId="00B0A15B" w14:textId="53852246" w:rsidR="001C4EA8" w:rsidRPr="00A016D1" w:rsidRDefault="001C4EA8" w:rsidP="00EA63FD">
            <w:pPr>
              <w:pStyle w:val="Tabletext"/>
              <w:jc w:val="right"/>
              <w:rPr>
                <w:b/>
              </w:rPr>
            </w:pPr>
            <w:r>
              <w:rPr>
                <w:b/>
              </w:rPr>
              <w:t>419.5</w:t>
            </w:r>
          </w:p>
        </w:tc>
        <w:tc>
          <w:tcPr>
            <w:tcW w:w="933" w:type="dxa"/>
            <w:tcBorders>
              <w:top w:val="single" w:sz="2" w:space="0" w:color="93B7BB"/>
              <w:left w:val="nil"/>
              <w:bottom w:val="single" w:sz="4" w:space="0" w:color="93B7BB"/>
              <w:right w:val="nil"/>
            </w:tcBorders>
            <w:vAlign w:val="bottom"/>
          </w:tcPr>
          <w:p w14:paraId="132ACB98" w14:textId="77BB8381" w:rsidR="001C4EA8" w:rsidRPr="001250C9" w:rsidRDefault="001C4EA8" w:rsidP="00EA63FD">
            <w:pPr>
              <w:pStyle w:val="Tabletext"/>
              <w:jc w:val="right"/>
            </w:pPr>
            <w:r w:rsidRPr="001250C9">
              <w:rPr>
                <w:bCs/>
              </w:rPr>
              <w:t>424</w:t>
            </w:r>
            <w:r w:rsidRPr="001250C9">
              <w:rPr>
                <w:bCs/>
                <w:spacing w:val="-3"/>
              </w:rPr>
              <w:t>.</w:t>
            </w:r>
            <w:r w:rsidRPr="001250C9">
              <w:rPr>
                <w:bCs/>
              </w:rPr>
              <w:t>3</w:t>
            </w:r>
          </w:p>
        </w:tc>
      </w:tr>
    </w:tbl>
    <w:p w14:paraId="57AFFB88" w14:textId="77777777" w:rsidR="00EA63FD" w:rsidRPr="009F2075" w:rsidRDefault="00EA63FD" w:rsidP="00BB6FE0">
      <w:pPr>
        <w:pStyle w:val="Footnote"/>
      </w:pPr>
    </w:p>
    <w:p w14:paraId="15516C0C" w14:textId="77777777" w:rsidR="00EA63FD" w:rsidRPr="00364452" w:rsidRDefault="00EA63FD" w:rsidP="00364452">
      <w:pPr>
        <w:pStyle w:val="Heading3"/>
      </w:pPr>
      <w:r w:rsidRPr="00364452">
        <w:t>OPERATING CASHFLOWS</w:t>
      </w:r>
    </w:p>
    <w:p w14:paraId="6FAAC174" w14:textId="59CAC891" w:rsidR="00EA63FD" w:rsidRPr="009F2075" w:rsidRDefault="00EA63FD" w:rsidP="003145A7">
      <w:pPr>
        <w:jc w:val="both"/>
      </w:pPr>
      <w:r w:rsidRPr="009F2075">
        <w:t xml:space="preserve">The cash inflow from operating activities before exceptional items </w:t>
      </w:r>
      <w:r w:rsidR="00FC5C58">
        <w:t xml:space="preserve">and income tax paid </w:t>
      </w:r>
      <w:r w:rsidRPr="009F2075">
        <w:t xml:space="preserve">for the year was </w:t>
      </w:r>
      <w:r w:rsidR="00AB0E00" w:rsidRPr="009F2075">
        <w:t>£</w:t>
      </w:r>
      <w:r w:rsidR="007E6728">
        <w:t>1</w:t>
      </w:r>
      <w:r w:rsidR="00FC5C58">
        <w:t>66</w:t>
      </w:r>
      <w:r w:rsidR="007E6728">
        <w:t>.</w:t>
      </w:r>
      <w:r w:rsidR="00FC5C58">
        <w:t>7</w:t>
      </w:r>
      <w:r w:rsidR="00AB0E00">
        <w:t xml:space="preserve"> </w:t>
      </w:r>
      <w:r w:rsidRPr="009F2075">
        <w:t xml:space="preserve">million, which constitutes a cash conversion rate from </w:t>
      </w:r>
      <w:r w:rsidR="004F3A88">
        <w:t xml:space="preserve">Adjusted </w:t>
      </w:r>
      <w:r w:rsidRPr="009F2075">
        <w:t xml:space="preserve">EBITDA for the year of </w:t>
      </w:r>
      <w:r w:rsidR="00FC5C58">
        <w:t>104</w:t>
      </w:r>
      <w:r w:rsidR="007E6728">
        <w:t>.</w:t>
      </w:r>
      <w:r w:rsidR="00FC5C58">
        <w:t>1</w:t>
      </w:r>
      <w:r w:rsidRPr="009F2075">
        <w:t>% (201</w:t>
      </w:r>
      <w:r w:rsidR="004447F5">
        <w:t>4</w:t>
      </w:r>
      <w:r w:rsidRPr="009F2075">
        <w:t>: £1</w:t>
      </w:r>
      <w:r w:rsidR="004447F5">
        <w:t>64</w:t>
      </w:r>
      <w:r w:rsidRPr="009F2075">
        <w:t xml:space="preserve">.2 million or </w:t>
      </w:r>
      <w:r w:rsidR="007E6728">
        <w:t>104</w:t>
      </w:r>
      <w:r w:rsidRPr="009F2075">
        <w:t>.</w:t>
      </w:r>
      <w:r w:rsidR="007E6728">
        <w:t>8</w:t>
      </w:r>
      <w:r w:rsidRPr="009F2075">
        <w:t>%).</w:t>
      </w:r>
    </w:p>
    <w:p w14:paraId="04CC68B8" w14:textId="70F65049" w:rsidR="00EA63FD" w:rsidRPr="009F2075" w:rsidRDefault="00392440" w:rsidP="00364452">
      <w:pPr>
        <w:pStyle w:val="Heading3"/>
      </w:pPr>
      <w:r>
        <w:t xml:space="preserve">INVESTING AND </w:t>
      </w:r>
      <w:r w:rsidR="00EA63FD" w:rsidRPr="009F2075">
        <w:t>FINANCING CASHFLOWS</w:t>
      </w:r>
    </w:p>
    <w:p w14:paraId="7FBDA802" w14:textId="04C6D509" w:rsidR="00CD6867" w:rsidRDefault="00574365" w:rsidP="003145A7">
      <w:pPr>
        <w:jc w:val="both"/>
      </w:pPr>
      <w:r>
        <w:t xml:space="preserve">Net cash used in investing activities for the year was </w:t>
      </w:r>
      <w:r w:rsidRPr="009F2075">
        <w:t>£</w:t>
      </w:r>
      <w:r w:rsidR="000F12A7">
        <w:t>109.6</w:t>
      </w:r>
      <w:r w:rsidRPr="009F2075">
        <w:t xml:space="preserve"> </w:t>
      </w:r>
      <w:r>
        <w:t>million.</w:t>
      </w:r>
      <w:r w:rsidR="00EF697F">
        <w:t xml:space="preserve"> </w:t>
      </w:r>
      <w:r w:rsidR="00EF697F" w:rsidRPr="00866F2A">
        <w:t xml:space="preserve">Capital expenditure for the purchase of property, plant and equipment in the </w:t>
      </w:r>
      <w:r w:rsidR="000F12A7">
        <w:t xml:space="preserve">year </w:t>
      </w:r>
      <w:r w:rsidR="00EF697F" w:rsidRPr="00866F2A">
        <w:t xml:space="preserve">totalled </w:t>
      </w:r>
      <w:r w:rsidR="00EF697F" w:rsidRPr="009F2075">
        <w:t>£</w:t>
      </w:r>
      <w:r w:rsidR="000F12A7">
        <w:t>109.5</w:t>
      </w:r>
      <w:r w:rsidR="00EF697F" w:rsidRPr="008E4BFA">
        <w:t xml:space="preserve"> </w:t>
      </w:r>
      <w:r w:rsidR="00EF697F">
        <w:t xml:space="preserve">million, which included the development of </w:t>
      </w:r>
      <w:r w:rsidR="000722B7">
        <w:t xml:space="preserve">the </w:t>
      </w:r>
      <w:r w:rsidR="00EF697F">
        <w:t>Manchester</w:t>
      </w:r>
      <w:r w:rsidR="004177B2">
        <w:t xml:space="preserve"> and</w:t>
      </w:r>
      <w:r w:rsidR="00EF697F">
        <w:t xml:space="preserve"> Nottingham</w:t>
      </w:r>
      <w:r w:rsidR="004177B2">
        <w:t xml:space="preserve"> hospitals</w:t>
      </w:r>
      <w:r w:rsidR="00EF697F">
        <w:t xml:space="preserve">, the Spire Specialist </w:t>
      </w:r>
      <w:r w:rsidR="005D4FF1">
        <w:t xml:space="preserve">Cancer </w:t>
      </w:r>
      <w:r w:rsidR="00EF697F">
        <w:t xml:space="preserve">Care Centre </w:t>
      </w:r>
      <w:r w:rsidR="00B845D3">
        <w:t>in Baddow</w:t>
      </w:r>
      <w:r w:rsidR="00EF697F">
        <w:t xml:space="preserve"> and theatre development</w:t>
      </w:r>
      <w:r w:rsidR="004177B2">
        <w:t>s</w:t>
      </w:r>
      <w:r w:rsidR="00EF697F">
        <w:t xml:space="preserve"> at </w:t>
      </w:r>
      <w:r w:rsidR="004177B2">
        <w:t xml:space="preserve">Spire St Anthony’s and </w:t>
      </w:r>
      <w:r w:rsidR="00EF697F">
        <w:t xml:space="preserve">Spire Elland </w:t>
      </w:r>
      <w:r w:rsidR="004177B2">
        <w:t>h</w:t>
      </w:r>
      <w:r w:rsidR="00EF697F">
        <w:t>ospital</w:t>
      </w:r>
      <w:r w:rsidR="004177B2">
        <w:t>s</w:t>
      </w:r>
      <w:r w:rsidR="00EF697F">
        <w:t>.</w:t>
      </w:r>
    </w:p>
    <w:p w14:paraId="30DA0BC6" w14:textId="77DFA37E" w:rsidR="00325E31" w:rsidRDefault="00325E31" w:rsidP="003145A7">
      <w:pPr>
        <w:jc w:val="both"/>
      </w:pPr>
      <w:r>
        <w:t xml:space="preserve">Net cash used in investing activities for the </w:t>
      </w:r>
      <w:r w:rsidR="00EF697F">
        <w:t xml:space="preserve">prior </w:t>
      </w:r>
      <w:r>
        <w:t xml:space="preserve">year </w:t>
      </w:r>
      <w:r w:rsidR="00EF697F">
        <w:t>ended 31 December 2014 wa</w:t>
      </w:r>
      <w:r>
        <w:t>s £70.0 million, which include</w:t>
      </w:r>
      <w:r w:rsidR="0046055E">
        <w:t>d</w:t>
      </w:r>
      <w:r>
        <w:t xml:space="preserve"> the acquisition of St Anthony’s Hospital in May 2014 for £38.5 million and other capital expenditure of £66.6 million, offset by the proceeds from the disposal of the </w:t>
      </w:r>
      <w:r w:rsidR="0046055E">
        <w:t>long lease</w:t>
      </w:r>
      <w:r>
        <w:t>hold interest in Spire Washington Hospital and the disposal of a fertility business, totalling £34.8 million, and interest received of £0.3 million. Capital expenditure comprise</w:t>
      </w:r>
      <w:r w:rsidR="0046055E">
        <w:t>d</w:t>
      </w:r>
      <w:r>
        <w:t xml:space="preserve"> the completion of the radiotherapy centre in Bristol, new theatres in Harpenden and South Bank, the completion of a cardiac catheterisation lab</w:t>
      </w:r>
      <w:r w:rsidR="00D45760">
        <w:t>oratory and theatre</w:t>
      </w:r>
      <w:r>
        <w:t xml:space="preserve"> in Cardiff, MRI at Clare Park and a major reconfiguration and development of facilities in Tunbridge Wells, including investment in out-patient areas and static MRI and CT machines at this hospital.</w:t>
      </w:r>
    </w:p>
    <w:p w14:paraId="5F302AAB" w14:textId="0B4B7F63" w:rsidR="0060254E" w:rsidRDefault="0060254E" w:rsidP="0060254E">
      <w:pPr>
        <w:jc w:val="both"/>
      </w:pPr>
      <w:r>
        <w:t xml:space="preserve">Net cash used in financing activities for the year ended 31 December 2015 </w:t>
      </w:r>
      <w:r w:rsidR="003D73D9">
        <w:t xml:space="preserve">was </w:t>
      </w:r>
      <w:r w:rsidR="00A35AFF" w:rsidRPr="009F2075">
        <w:t>£</w:t>
      </w:r>
      <w:r w:rsidR="000F12A7">
        <w:t>41.3</w:t>
      </w:r>
      <w:r w:rsidR="00A35AFF" w:rsidRPr="009F2075">
        <w:t xml:space="preserve"> </w:t>
      </w:r>
      <w:r>
        <w:t xml:space="preserve">million, including interest paid of </w:t>
      </w:r>
      <w:r w:rsidR="00A35AFF" w:rsidRPr="009F2075">
        <w:t>£</w:t>
      </w:r>
      <w:r w:rsidR="000F12A7">
        <w:t>21.4</w:t>
      </w:r>
      <w:r w:rsidR="00A35AFF" w:rsidRPr="009F2075">
        <w:t xml:space="preserve"> </w:t>
      </w:r>
      <w:r>
        <w:t>million, purchase of treasury shares for the Company’s Employee Benefit Trust of £5.6 million and dividend paid to shareholders of £</w:t>
      </w:r>
      <w:r w:rsidR="000F12A7">
        <w:t>1</w:t>
      </w:r>
      <w:r>
        <w:t>2</w:t>
      </w:r>
      <w:r w:rsidR="000F12A7">
        <w:t>.4</w:t>
      </w:r>
      <w:r>
        <w:t xml:space="preserve"> million.</w:t>
      </w:r>
    </w:p>
    <w:p w14:paraId="5B12EC4E" w14:textId="7EE01652" w:rsidR="00325E31" w:rsidRDefault="00325E31" w:rsidP="003145A7">
      <w:pPr>
        <w:jc w:val="both"/>
      </w:pPr>
      <w:r>
        <w:t xml:space="preserve">Net cash used in financing activities </w:t>
      </w:r>
      <w:r w:rsidR="00A35AFF">
        <w:t xml:space="preserve">for the year ended 31 December 2014 </w:t>
      </w:r>
      <w:r>
        <w:t>of £80.0 million comprise</w:t>
      </w:r>
      <w:r w:rsidR="00A35AFF">
        <w:t>d</w:t>
      </w:r>
      <w:r>
        <w:t xml:space="preserve"> net proceeds from the issue of shares of £306.9 million, the net repayment of bank debt after cash raised from new borrowings of £345.6 million and interest paid of £41.3 million. On Admission</w:t>
      </w:r>
      <w:r w:rsidR="00A11311">
        <w:t>,</w:t>
      </w:r>
      <w:r>
        <w:t xml:space="preserve"> 150,100,341 new ordinary shares were issued by the Company, which generated cash proceeds of £306.9 million. The proceeds, combined with a restructuring of existing shareholder interests in the Group and the refinancing of the bank facilities served to reduce overall Group indebtedness and materially reduce the net funding costs of the Group.</w:t>
      </w:r>
    </w:p>
    <w:p w14:paraId="29E68C1A" w14:textId="77777777" w:rsidR="00EA63FD" w:rsidRPr="009F2075" w:rsidRDefault="00EA63FD" w:rsidP="00364452">
      <w:pPr>
        <w:pStyle w:val="Heading3"/>
      </w:pPr>
      <w:r w:rsidRPr="009F2075">
        <w:t>BORROWINGS</w:t>
      </w:r>
    </w:p>
    <w:p w14:paraId="0C998902" w14:textId="4D0ADD30" w:rsidR="00EA63FD" w:rsidRPr="009F2075" w:rsidRDefault="00EA63FD" w:rsidP="003145A7">
      <w:pPr>
        <w:jc w:val="both"/>
        <w:rPr>
          <w:b/>
          <w:bCs/>
        </w:rPr>
      </w:pPr>
      <w:r w:rsidRPr="009F2075">
        <w:t>At 31 December 201</w:t>
      </w:r>
      <w:r w:rsidR="003D73D9">
        <w:t>5</w:t>
      </w:r>
      <w:r w:rsidR="00A11311">
        <w:t>,</w:t>
      </w:r>
      <w:r w:rsidRPr="009F2075">
        <w:t xml:space="preserve"> </w:t>
      </w:r>
      <w:r w:rsidR="00325E31">
        <w:t>the Group ha</w:t>
      </w:r>
      <w:r w:rsidR="00E77263">
        <w:t>d</w:t>
      </w:r>
      <w:r w:rsidRPr="009F2075">
        <w:t xml:space="preserve"> bank debt of </w:t>
      </w:r>
      <w:r w:rsidR="003D73D9" w:rsidRPr="009F2075">
        <w:t>£</w:t>
      </w:r>
      <w:r w:rsidR="004E0E25">
        <w:t>423.1</w:t>
      </w:r>
      <w:r w:rsidR="003D73D9" w:rsidRPr="009F2075">
        <w:t xml:space="preserve"> million</w:t>
      </w:r>
      <w:r w:rsidR="003D73D9">
        <w:t xml:space="preserve"> (2014: </w:t>
      </w:r>
      <w:r w:rsidRPr="009F2075">
        <w:t>£422.2 million</w:t>
      </w:r>
      <w:r w:rsidR="003D73D9">
        <w:t>)</w:t>
      </w:r>
      <w:r w:rsidRPr="009F2075">
        <w:t xml:space="preserve">, drawn under facilities which mature in 2019 and finance lease debt of </w:t>
      </w:r>
      <w:r w:rsidR="003D73D9" w:rsidRPr="009F2075">
        <w:t>£</w:t>
      </w:r>
      <w:r w:rsidR="004E0E25">
        <w:t>75.3</w:t>
      </w:r>
      <w:r w:rsidR="003D73D9" w:rsidRPr="009F2075">
        <w:t xml:space="preserve"> million</w:t>
      </w:r>
      <w:r w:rsidR="003D73D9">
        <w:t xml:space="preserve"> (2014: </w:t>
      </w:r>
      <w:r w:rsidRPr="009F2075">
        <w:t>£76.6 million</w:t>
      </w:r>
      <w:r w:rsidR="003D73D9">
        <w:t>)</w:t>
      </w:r>
      <w:r w:rsidRPr="009F2075">
        <w:t>.</w:t>
      </w:r>
      <w:r w:rsidR="00325E31">
        <w:t xml:space="preserve"> </w:t>
      </w:r>
      <w:r w:rsidRPr="009F2075">
        <w:t xml:space="preserve">Additionally, </w:t>
      </w:r>
      <w:r w:rsidR="00CF365F">
        <w:t>the Group has a</w:t>
      </w:r>
      <w:r w:rsidRPr="009F2075">
        <w:t xml:space="preserve"> revolving loan facility of </w:t>
      </w:r>
      <w:r w:rsidR="003D73D9" w:rsidRPr="009F2075">
        <w:t>£</w:t>
      </w:r>
      <w:r w:rsidR="004E0E25">
        <w:t>100.0</w:t>
      </w:r>
      <w:r w:rsidR="003D73D9" w:rsidRPr="009F2075">
        <w:t xml:space="preserve"> million</w:t>
      </w:r>
      <w:r w:rsidR="003D73D9">
        <w:t xml:space="preserve"> (2014: </w:t>
      </w:r>
      <w:r w:rsidRPr="009F2075">
        <w:t>£100.0 million</w:t>
      </w:r>
      <w:r w:rsidR="003D73D9">
        <w:t>)</w:t>
      </w:r>
      <w:r w:rsidRPr="009F2075">
        <w:t xml:space="preserve"> available until July 2019</w:t>
      </w:r>
      <w:r w:rsidR="00BC56BF">
        <w:t>,</w:t>
      </w:r>
      <w:r w:rsidRPr="009F2075">
        <w:t xml:space="preserve"> which was undrawn at 31 December 201</w:t>
      </w:r>
      <w:r w:rsidR="003D73D9">
        <w:t>5</w:t>
      </w:r>
      <w:r w:rsidRPr="009F2075">
        <w:t>.</w:t>
      </w:r>
    </w:p>
    <w:tbl>
      <w:tblPr>
        <w:tblW w:w="9072" w:type="dxa"/>
        <w:tblLayout w:type="fixed"/>
        <w:tblCellMar>
          <w:left w:w="0" w:type="dxa"/>
          <w:right w:w="0" w:type="dxa"/>
        </w:tblCellMar>
        <w:tblLook w:val="0000" w:firstRow="0" w:lastRow="0" w:firstColumn="0" w:lastColumn="0" w:noHBand="0" w:noVBand="0"/>
      </w:tblPr>
      <w:tblGrid>
        <w:gridCol w:w="7213"/>
        <w:gridCol w:w="929"/>
        <w:gridCol w:w="930"/>
      </w:tblGrid>
      <w:tr w:rsidR="00EA63FD" w:rsidRPr="009F2075" w14:paraId="2A65B371" w14:textId="77777777" w:rsidTr="007F3F70">
        <w:tc>
          <w:tcPr>
            <w:tcW w:w="7213" w:type="dxa"/>
            <w:tcBorders>
              <w:left w:val="nil"/>
              <w:bottom w:val="single" w:sz="4" w:space="0" w:color="93B7BB"/>
              <w:right w:val="nil"/>
            </w:tcBorders>
            <w:shd w:val="clear" w:color="auto" w:fill="auto"/>
            <w:vAlign w:val="bottom"/>
          </w:tcPr>
          <w:p w14:paraId="7929BE88" w14:textId="77777777" w:rsidR="00EA63FD" w:rsidRPr="00BB6FE0" w:rsidRDefault="00EA63FD" w:rsidP="00EA63FD">
            <w:pPr>
              <w:pStyle w:val="Tableheading"/>
              <w:rPr>
                <w:rFonts w:ascii="Calibri" w:hAnsi="Calibri" w:cs="Calibri"/>
                <w:b/>
                <w:bCs/>
                <w:spacing w:val="-6"/>
                <w:w w:val="110"/>
              </w:rPr>
            </w:pPr>
            <w:r w:rsidRPr="00BB6FE0">
              <w:rPr>
                <w:b/>
                <w:bCs/>
                <w:spacing w:val="-2"/>
              </w:rPr>
              <w:t>(£</w:t>
            </w:r>
            <w:r w:rsidRPr="00BB6FE0">
              <w:rPr>
                <w:b/>
                <w:bCs/>
                <w:spacing w:val="-6"/>
              </w:rPr>
              <w:t xml:space="preserve"> </w:t>
            </w:r>
            <w:r w:rsidRPr="00BB6FE0">
              <w:rPr>
                <w:b/>
                <w:bCs/>
              </w:rPr>
              <w:t>milli</w:t>
            </w:r>
            <w:r w:rsidRPr="00BB6FE0">
              <w:rPr>
                <w:b/>
                <w:bCs/>
                <w:spacing w:val="-2"/>
              </w:rPr>
              <w:t>o</w:t>
            </w:r>
            <w:r w:rsidRPr="00BB6FE0">
              <w:rPr>
                <w:b/>
                <w:bCs/>
              </w:rPr>
              <w:t>n</w:t>
            </w:r>
            <w:r w:rsidRPr="00BB6FE0">
              <w:rPr>
                <w:b/>
                <w:bCs/>
                <w:spacing w:val="-2"/>
              </w:rPr>
              <w:t>)</w:t>
            </w:r>
          </w:p>
        </w:tc>
        <w:tc>
          <w:tcPr>
            <w:tcW w:w="929" w:type="dxa"/>
            <w:tcBorders>
              <w:left w:val="nil"/>
              <w:bottom w:val="single" w:sz="4" w:space="0" w:color="93B7BB"/>
              <w:right w:val="nil"/>
            </w:tcBorders>
            <w:shd w:val="clear" w:color="auto" w:fill="auto"/>
            <w:vAlign w:val="bottom"/>
          </w:tcPr>
          <w:p w14:paraId="517F5912" w14:textId="340CCC50" w:rsidR="00EA63FD" w:rsidRPr="00BB6FE0" w:rsidRDefault="00EA63FD" w:rsidP="007F3F70">
            <w:pPr>
              <w:pStyle w:val="Tableheading"/>
              <w:jc w:val="right"/>
              <w:rPr>
                <w:rFonts w:ascii="Calibri" w:hAnsi="Calibri" w:cs="Calibri"/>
                <w:b/>
                <w:bCs/>
                <w:spacing w:val="-5"/>
              </w:rPr>
            </w:pPr>
            <w:r w:rsidRPr="00BB6FE0">
              <w:rPr>
                <w:b/>
                <w:bCs/>
              </w:rPr>
              <w:t>201</w:t>
            </w:r>
            <w:r w:rsidR="007F3F70">
              <w:rPr>
                <w:b/>
                <w:bCs/>
              </w:rPr>
              <w:t>5</w:t>
            </w:r>
          </w:p>
        </w:tc>
        <w:tc>
          <w:tcPr>
            <w:tcW w:w="930" w:type="dxa"/>
            <w:tcBorders>
              <w:left w:val="nil"/>
              <w:bottom w:val="single" w:sz="4" w:space="0" w:color="93B7BB"/>
              <w:right w:val="nil"/>
            </w:tcBorders>
            <w:shd w:val="clear" w:color="auto" w:fill="auto"/>
            <w:vAlign w:val="bottom"/>
          </w:tcPr>
          <w:p w14:paraId="1D88F683" w14:textId="254B747E" w:rsidR="00EA63FD" w:rsidRPr="00BB6FE0" w:rsidRDefault="00EA63FD" w:rsidP="007F3F70">
            <w:pPr>
              <w:pStyle w:val="Tableheading"/>
              <w:jc w:val="right"/>
              <w:rPr>
                <w:rFonts w:ascii="Calibri" w:hAnsi="Calibri" w:cs="Calibri"/>
                <w:spacing w:val="-5"/>
              </w:rPr>
            </w:pPr>
            <w:r w:rsidRPr="00BB6FE0">
              <w:rPr>
                <w:bCs/>
              </w:rPr>
              <w:t>201</w:t>
            </w:r>
            <w:r w:rsidR="007F3F70">
              <w:rPr>
                <w:bCs/>
              </w:rPr>
              <w:t>4</w:t>
            </w:r>
          </w:p>
        </w:tc>
      </w:tr>
      <w:tr w:rsidR="007F3F70" w:rsidRPr="009F2075" w14:paraId="4C2B8B6C" w14:textId="77777777" w:rsidTr="007F3F70">
        <w:tc>
          <w:tcPr>
            <w:tcW w:w="7213" w:type="dxa"/>
            <w:tcBorders>
              <w:top w:val="single" w:sz="4" w:space="0" w:color="93B7BB"/>
              <w:left w:val="nil"/>
              <w:bottom w:val="nil"/>
              <w:right w:val="nil"/>
            </w:tcBorders>
          </w:tcPr>
          <w:p w14:paraId="1AA1C434" w14:textId="77777777" w:rsidR="007F3F70" w:rsidRPr="00BB6FE0" w:rsidRDefault="007F3F70" w:rsidP="00EA63FD">
            <w:pPr>
              <w:pStyle w:val="Tabletext"/>
            </w:pPr>
            <w:r w:rsidRPr="00BB6FE0">
              <w:rPr>
                <w:w w:val="110"/>
              </w:rPr>
              <w:t>C</w:t>
            </w:r>
            <w:r w:rsidRPr="00BB6FE0">
              <w:rPr>
                <w:spacing w:val="-7"/>
                <w:w w:val="110"/>
              </w:rPr>
              <w:t>a</w:t>
            </w:r>
            <w:r w:rsidRPr="00BB6FE0">
              <w:rPr>
                <w:w w:val="110"/>
              </w:rPr>
              <w:t>sh</w:t>
            </w:r>
          </w:p>
        </w:tc>
        <w:tc>
          <w:tcPr>
            <w:tcW w:w="929" w:type="dxa"/>
            <w:tcBorders>
              <w:top w:val="single" w:sz="4" w:space="0" w:color="93B7BB"/>
              <w:left w:val="nil"/>
              <w:bottom w:val="nil"/>
              <w:right w:val="nil"/>
            </w:tcBorders>
            <w:shd w:val="clear" w:color="auto" w:fill="EFF4F5"/>
            <w:vAlign w:val="bottom"/>
          </w:tcPr>
          <w:p w14:paraId="4AF0C3AD" w14:textId="0FCE0A1F" w:rsidR="007F3F70" w:rsidRPr="004E0E25" w:rsidRDefault="004E0E25" w:rsidP="00EA63FD">
            <w:pPr>
              <w:pStyle w:val="Tabletext"/>
              <w:jc w:val="right"/>
              <w:rPr>
                <w:b/>
              </w:rPr>
            </w:pPr>
            <w:r w:rsidRPr="004E0E25">
              <w:rPr>
                <w:b/>
              </w:rPr>
              <w:t>(78.9)</w:t>
            </w:r>
          </w:p>
        </w:tc>
        <w:tc>
          <w:tcPr>
            <w:tcW w:w="930" w:type="dxa"/>
            <w:tcBorders>
              <w:top w:val="single" w:sz="4" w:space="0" w:color="93B7BB"/>
              <w:left w:val="nil"/>
              <w:bottom w:val="nil"/>
              <w:right w:val="nil"/>
            </w:tcBorders>
            <w:vAlign w:val="bottom"/>
          </w:tcPr>
          <w:p w14:paraId="118F93F3" w14:textId="31B966EC" w:rsidR="007F3F70" w:rsidRPr="007F3F70" w:rsidRDefault="007F3F70" w:rsidP="00EA63FD">
            <w:pPr>
              <w:pStyle w:val="Tabletext"/>
              <w:jc w:val="right"/>
            </w:pPr>
            <w:r w:rsidRPr="007F3F70">
              <w:rPr>
                <w:bCs/>
                <w:spacing w:val="-5"/>
              </w:rPr>
              <w:t>(</w:t>
            </w:r>
            <w:r w:rsidRPr="007F3F70">
              <w:rPr>
                <w:bCs/>
                <w:spacing w:val="-4"/>
              </w:rPr>
              <w:t>74</w:t>
            </w:r>
            <w:r w:rsidRPr="007F3F70">
              <w:rPr>
                <w:bCs/>
                <w:spacing w:val="-5"/>
              </w:rPr>
              <w:t>.</w:t>
            </w:r>
            <w:r w:rsidRPr="007F3F70">
              <w:rPr>
                <w:bCs/>
                <w:spacing w:val="-4"/>
              </w:rPr>
              <w:t>5</w:t>
            </w:r>
            <w:r w:rsidRPr="007F3F70">
              <w:rPr>
                <w:bCs/>
                <w:spacing w:val="-5"/>
              </w:rPr>
              <w:t>)</w:t>
            </w:r>
          </w:p>
        </w:tc>
      </w:tr>
      <w:tr w:rsidR="007F3F70" w:rsidRPr="009F2075" w14:paraId="30D0372E" w14:textId="77777777" w:rsidTr="007F3F70">
        <w:tc>
          <w:tcPr>
            <w:tcW w:w="7213" w:type="dxa"/>
            <w:tcBorders>
              <w:top w:val="nil"/>
              <w:left w:val="nil"/>
              <w:bottom w:val="nil"/>
              <w:right w:val="nil"/>
            </w:tcBorders>
          </w:tcPr>
          <w:p w14:paraId="3D908647" w14:textId="50F6F8D1" w:rsidR="007F3F70" w:rsidRPr="00BB6FE0" w:rsidRDefault="007F3F70" w:rsidP="00EA63FD">
            <w:pPr>
              <w:pStyle w:val="Tabletext"/>
            </w:pPr>
            <w:r w:rsidRPr="00BB6FE0">
              <w:rPr>
                <w:spacing w:val="-5"/>
              </w:rPr>
              <w:t>E</w:t>
            </w:r>
            <w:r w:rsidRPr="00BB6FE0">
              <w:rPr>
                <w:spacing w:val="-4"/>
              </w:rPr>
              <w:t>xt</w:t>
            </w:r>
            <w:r w:rsidRPr="00BB6FE0">
              <w:rPr>
                <w:spacing w:val="-5"/>
              </w:rPr>
              <w:t>e</w:t>
            </w:r>
            <w:r w:rsidRPr="00BB6FE0">
              <w:rPr>
                <w:spacing w:val="-4"/>
              </w:rPr>
              <w:t>rnal</w:t>
            </w:r>
            <w:r w:rsidRPr="00BB6FE0">
              <w:rPr>
                <w:spacing w:val="-1"/>
              </w:rPr>
              <w:t xml:space="preserve"> </w:t>
            </w:r>
            <w:r w:rsidRPr="00BB6FE0">
              <w:rPr>
                <w:spacing w:val="-3"/>
              </w:rPr>
              <w:t>d</w:t>
            </w:r>
            <w:r w:rsidRPr="00BB6FE0">
              <w:rPr>
                <w:spacing w:val="-4"/>
              </w:rPr>
              <w:t>e</w:t>
            </w:r>
            <w:r w:rsidRPr="00BB6FE0">
              <w:rPr>
                <w:spacing w:val="-3"/>
              </w:rPr>
              <w:t>bt</w:t>
            </w:r>
            <w:r w:rsidRPr="00BB6FE0">
              <w:t xml:space="preserve"> </w:t>
            </w:r>
            <w:r w:rsidRPr="00BB6FE0">
              <w:rPr>
                <w:spacing w:val="-5"/>
              </w:rPr>
              <w:t>(</w:t>
            </w:r>
            <w:r w:rsidRPr="00BB6FE0">
              <w:rPr>
                <w:spacing w:val="-4"/>
              </w:rPr>
              <w:t>in</w:t>
            </w:r>
            <w:r w:rsidRPr="00BB6FE0">
              <w:rPr>
                <w:spacing w:val="-5"/>
              </w:rPr>
              <w:t>c</w:t>
            </w:r>
            <w:r w:rsidRPr="00BB6FE0">
              <w:rPr>
                <w:spacing w:val="-4"/>
              </w:rPr>
              <w:t>l</w:t>
            </w:r>
            <w:r w:rsidR="00BC4DF7">
              <w:rPr>
                <w:spacing w:val="-4"/>
              </w:rPr>
              <w:t>.</w:t>
            </w:r>
            <w:r w:rsidRPr="00BB6FE0">
              <w:t xml:space="preserve"> </w:t>
            </w:r>
            <w:r w:rsidRPr="00BB6FE0">
              <w:rPr>
                <w:spacing w:val="-4"/>
              </w:rPr>
              <w:t>finan</w:t>
            </w:r>
            <w:r w:rsidRPr="00BB6FE0">
              <w:rPr>
                <w:spacing w:val="-5"/>
              </w:rPr>
              <w:t>ce</w:t>
            </w:r>
            <w:r w:rsidRPr="00BB6FE0">
              <w:rPr>
                <w:spacing w:val="-1"/>
              </w:rPr>
              <w:t xml:space="preserve"> </w:t>
            </w:r>
            <w:r w:rsidRPr="00BB6FE0">
              <w:rPr>
                <w:spacing w:val="-5"/>
              </w:rPr>
              <w:t>l</w:t>
            </w:r>
            <w:r w:rsidRPr="00BB6FE0">
              <w:t>e</w:t>
            </w:r>
            <w:r w:rsidRPr="00BB6FE0">
              <w:rPr>
                <w:spacing w:val="-5"/>
              </w:rPr>
              <w:t>as</w:t>
            </w:r>
            <w:r w:rsidRPr="00BB6FE0">
              <w:t>e</w:t>
            </w:r>
            <w:r w:rsidRPr="00BB6FE0">
              <w:rPr>
                <w:spacing w:val="-5"/>
              </w:rPr>
              <w:t>s</w:t>
            </w:r>
            <w:r w:rsidRPr="00BB6FE0">
              <w:t>)</w:t>
            </w:r>
          </w:p>
        </w:tc>
        <w:tc>
          <w:tcPr>
            <w:tcW w:w="929" w:type="dxa"/>
            <w:tcBorders>
              <w:top w:val="nil"/>
              <w:left w:val="nil"/>
              <w:bottom w:val="nil"/>
              <w:right w:val="nil"/>
            </w:tcBorders>
            <w:shd w:val="clear" w:color="auto" w:fill="EFF4F5"/>
            <w:vAlign w:val="bottom"/>
          </w:tcPr>
          <w:p w14:paraId="6C7C15AD" w14:textId="73CA90A9" w:rsidR="007F3F70" w:rsidRPr="004E0E25" w:rsidRDefault="004E0E25" w:rsidP="00EA63FD">
            <w:pPr>
              <w:pStyle w:val="Tabletext"/>
              <w:jc w:val="right"/>
              <w:rPr>
                <w:b/>
              </w:rPr>
            </w:pPr>
            <w:r w:rsidRPr="004E0E25">
              <w:rPr>
                <w:b/>
              </w:rPr>
              <w:t>498.4</w:t>
            </w:r>
          </w:p>
        </w:tc>
        <w:tc>
          <w:tcPr>
            <w:tcW w:w="930" w:type="dxa"/>
            <w:tcBorders>
              <w:top w:val="nil"/>
              <w:left w:val="nil"/>
              <w:bottom w:val="nil"/>
              <w:right w:val="nil"/>
            </w:tcBorders>
            <w:vAlign w:val="bottom"/>
          </w:tcPr>
          <w:p w14:paraId="6F587D6A" w14:textId="28794C88" w:rsidR="007F3F70" w:rsidRPr="007F3F70" w:rsidRDefault="007F3F70" w:rsidP="00EA63FD">
            <w:pPr>
              <w:pStyle w:val="Tabletext"/>
              <w:jc w:val="right"/>
            </w:pPr>
            <w:r w:rsidRPr="007F3F70">
              <w:rPr>
                <w:bCs/>
                <w:spacing w:val="-1"/>
              </w:rPr>
              <w:t>498</w:t>
            </w:r>
            <w:r w:rsidRPr="007F3F70">
              <w:rPr>
                <w:bCs/>
              </w:rPr>
              <w:t>.</w:t>
            </w:r>
            <w:r w:rsidRPr="007F3F70">
              <w:rPr>
                <w:bCs/>
                <w:spacing w:val="-1"/>
              </w:rPr>
              <w:t>8</w:t>
            </w:r>
          </w:p>
        </w:tc>
      </w:tr>
      <w:tr w:rsidR="007F3F70" w:rsidRPr="009F2075" w14:paraId="7B748192" w14:textId="77777777" w:rsidTr="007F3F70">
        <w:tc>
          <w:tcPr>
            <w:tcW w:w="7213" w:type="dxa"/>
            <w:tcBorders>
              <w:top w:val="single" w:sz="2" w:space="0" w:color="93B7BB"/>
              <w:left w:val="nil"/>
              <w:bottom w:val="single" w:sz="4" w:space="0" w:color="93B7BB"/>
              <w:right w:val="nil"/>
            </w:tcBorders>
          </w:tcPr>
          <w:p w14:paraId="3AAFCF5F" w14:textId="77777777" w:rsidR="007F3F70" w:rsidRPr="00BB6FE0" w:rsidRDefault="007F3F70" w:rsidP="00EA63FD">
            <w:pPr>
              <w:pStyle w:val="Tabletext"/>
            </w:pPr>
            <w:r w:rsidRPr="00BB6FE0">
              <w:t>N</w:t>
            </w:r>
            <w:r w:rsidRPr="00BB6FE0">
              <w:rPr>
                <w:spacing w:val="-3"/>
              </w:rPr>
              <w:t>e</w:t>
            </w:r>
            <w:r w:rsidRPr="00BB6FE0">
              <w:t>t</w:t>
            </w:r>
            <w:r w:rsidRPr="00BB6FE0">
              <w:rPr>
                <w:spacing w:val="-4"/>
              </w:rPr>
              <w:t xml:space="preserve"> </w:t>
            </w:r>
            <w:r w:rsidRPr="00BB6FE0">
              <w:rPr>
                <w:spacing w:val="-3"/>
              </w:rPr>
              <w:t>d</w:t>
            </w:r>
            <w:r w:rsidRPr="00BB6FE0">
              <w:rPr>
                <w:spacing w:val="-4"/>
              </w:rPr>
              <w:t>eb</w:t>
            </w:r>
            <w:r w:rsidRPr="00BB6FE0">
              <w:rPr>
                <w:spacing w:val="-3"/>
              </w:rPr>
              <w:t>t</w:t>
            </w:r>
          </w:p>
        </w:tc>
        <w:tc>
          <w:tcPr>
            <w:tcW w:w="929" w:type="dxa"/>
            <w:tcBorders>
              <w:top w:val="single" w:sz="2" w:space="0" w:color="93B7BB"/>
              <w:left w:val="nil"/>
              <w:bottom w:val="single" w:sz="4" w:space="0" w:color="93B7BB"/>
              <w:right w:val="nil"/>
            </w:tcBorders>
            <w:shd w:val="clear" w:color="auto" w:fill="EFF4F5"/>
            <w:vAlign w:val="bottom"/>
          </w:tcPr>
          <w:p w14:paraId="05B34F80" w14:textId="6E67005B" w:rsidR="007F3F70" w:rsidRPr="004E0E25" w:rsidRDefault="004E0E25" w:rsidP="00EA63FD">
            <w:pPr>
              <w:pStyle w:val="Tabletext"/>
              <w:jc w:val="right"/>
              <w:rPr>
                <w:b/>
              </w:rPr>
            </w:pPr>
            <w:r w:rsidRPr="004E0E25">
              <w:rPr>
                <w:b/>
              </w:rPr>
              <w:t>419.5</w:t>
            </w:r>
          </w:p>
        </w:tc>
        <w:tc>
          <w:tcPr>
            <w:tcW w:w="930" w:type="dxa"/>
            <w:tcBorders>
              <w:top w:val="single" w:sz="2" w:space="0" w:color="93B7BB"/>
              <w:left w:val="nil"/>
              <w:bottom w:val="single" w:sz="4" w:space="0" w:color="93B7BB"/>
              <w:right w:val="nil"/>
            </w:tcBorders>
            <w:vAlign w:val="bottom"/>
          </w:tcPr>
          <w:p w14:paraId="4AFD88C3" w14:textId="271D5AE0" w:rsidR="007F3F70" w:rsidRPr="007F3F70" w:rsidRDefault="007F3F70" w:rsidP="00EA63FD">
            <w:pPr>
              <w:pStyle w:val="Tabletext"/>
              <w:jc w:val="right"/>
            </w:pPr>
            <w:r w:rsidRPr="007F3F70">
              <w:rPr>
                <w:bCs/>
              </w:rPr>
              <w:t>424</w:t>
            </w:r>
            <w:r w:rsidRPr="007F3F70">
              <w:rPr>
                <w:bCs/>
                <w:spacing w:val="-3"/>
              </w:rPr>
              <w:t>.</w:t>
            </w:r>
            <w:r w:rsidRPr="007F3F70">
              <w:rPr>
                <w:bCs/>
              </w:rPr>
              <w:t>3</w:t>
            </w:r>
          </w:p>
        </w:tc>
      </w:tr>
    </w:tbl>
    <w:p w14:paraId="3F9BAAFC" w14:textId="77777777" w:rsidR="00EA63FD" w:rsidRPr="00BB6FE0" w:rsidRDefault="00EA63FD" w:rsidP="00BB6FE0">
      <w:pPr>
        <w:pStyle w:val="Footnote"/>
      </w:pPr>
    </w:p>
    <w:p w14:paraId="51FB6395" w14:textId="7B08347C" w:rsidR="00EA63FD" w:rsidRDefault="00EA63FD" w:rsidP="003145A7">
      <w:pPr>
        <w:jc w:val="both"/>
      </w:pPr>
      <w:r w:rsidRPr="009F2075">
        <w:t>Net debt as at 31 December 201</w:t>
      </w:r>
      <w:r w:rsidR="003D73D9">
        <w:t>5</w:t>
      </w:r>
      <w:r w:rsidRPr="009F2075">
        <w:t xml:space="preserve"> was </w:t>
      </w:r>
      <w:r w:rsidR="00296B94">
        <w:t>2.6</w:t>
      </w:r>
      <w:r w:rsidR="00CE2AF0" w:rsidRPr="009F2075">
        <w:t xml:space="preserve"> </w:t>
      </w:r>
      <w:r w:rsidRPr="009F2075">
        <w:t xml:space="preserve">times </w:t>
      </w:r>
      <w:r w:rsidR="006E3724">
        <w:t xml:space="preserve">Adjusted </w:t>
      </w:r>
      <w:r w:rsidRPr="009F2075">
        <w:t>EBITDA (201</w:t>
      </w:r>
      <w:r w:rsidR="003D73D9">
        <w:t>4</w:t>
      </w:r>
      <w:r w:rsidRPr="009F2075">
        <w:t xml:space="preserve">: </w:t>
      </w:r>
      <w:r w:rsidR="00CE2AF0">
        <w:t>2</w:t>
      </w:r>
      <w:r w:rsidRPr="009F2075">
        <w:t>.</w:t>
      </w:r>
      <w:r w:rsidR="00CE2AF0">
        <w:t>7</w:t>
      </w:r>
      <w:r w:rsidRPr="009F2075">
        <w:t xml:space="preserve"> times </w:t>
      </w:r>
      <w:r w:rsidR="00E72302">
        <w:t>Adjusted</w:t>
      </w:r>
      <w:r w:rsidRPr="009F2075">
        <w:t xml:space="preserve"> EBITDA).</w:t>
      </w:r>
    </w:p>
    <w:p w14:paraId="2E75131F" w14:textId="6D64D27E" w:rsidR="00D77497" w:rsidRPr="00D82E07" w:rsidRDefault="00D77497" w:rsidP="003145A7">
      <w:pPr>
        <w:jc w:val="both"/>
      </w:pPr>
      <w:r w:rsidRPr="00D82E07">
        <w:t xml:space="preserve">The consolidated cash and cash equivalents </w:t>
      </w:r>
      <w:r w:rsidR="00CE2AF0">
        <w:t xml:space="preserve">as </w:t>
      </w:r>
      <w:r w:rsidR="00CE2AF0" w:rsidRPr="00D82E07">
        <w:t>at 31 December 201</w:t>
      </w:r>
      <w:r w:rsidR="00CE2AF0">
        <w:t xml:space="preserve">5 </w:t>
      </w:r>
      <w:r w:rsidRPr="00D82E07">
        <w:t xml:space="preserve">was </w:t>
      </w:r>
      <w:r w:rsidR="00CE2AF0" w:rsidRPr="009F2075">
        <w:t>£</w:t>
      </w:r>
      <w:r w:rsidR="00296B94">
        <w:t>78.9</w:t>
      </w:r>
      <w:r w:rsidR="00CE2AF0" w:rsidRPr="009F2075">
        <w:t xml:space="preserve"> million</w:t>
      </w:r>
      <w:r w:rsidR="00CE2AF0">
        <w:t xml:space="preserve"> (2014: </w:t>
      </w:r>
      <w:r w:rsidRPr="00D82E07">
        <w:t>£74.5 million</w:t>
      </w:r>
      <w:r w:rsidR="00CE2AF0">
        <w:t>)</w:t>
      </w:r>
      <w:r w:rsidRPr="00D82E07">
        <w:t>. Surplus cash balances are held with UK-based investment</w:t>
      </w:r>
      <w:r>
        <w:t>-</w:t>
      </w:r>
      <w:r w:rsidRPr="00D82E07">
        <w:t>grade banks.</w:t>
      </w:r>
    </w:p>
    <w:p w14:paraId="3B6A1FEE" w14:textId="77777777" w:rsidR="00D475C0" w:rsidRDefault="00840910" w:rsidP="00D475C0">
      <w:pPr>
        <w:pStyle w:val="Heading3"/>
      </w:pPr>
      <w:r w:rsidRPr="00716EDB">
        <w:lastRenderedPageBreak/>
        <w:t>DIVIDEND</w:t>
      </w:r>
      <w:r w:rsidR="00D475C0">
        <w:t xml:space="preserve"> </w:t>
      </w:r>
    </w:p>
    <w:p w14:paraId="628BF01D" w14:textId="1B211477" w:rsidR="00840910" w:rsidRDefault="005A6646" w:rsidP="003145A7">
      <w:pPr>
        <w:jc w:val="both"/>
      </w:pPr>
      <w:r>
        <w:t xml:space="preserve">Subject to shareholder approval, the Company will pay a final dividend in respect of the financial year </w:t>
      </w:r>
      <w:r w:rsidR="002A7620">
        <w:t xml:space="preserve">ended 31 </w:t>
      </w:r>
      <w:r w:rsidR="002A7620" w:rsidRPr="009E2BFB">
        <w:t xml:space="preserve">December 2015 </w:t>
      </w:r>
      <w:r w:rsidRPr="009E2BFB">
        <w:t xml:space="preserve">of </w:t>
      </w:r>
      <w:r w:rsidR="00296B94" w:rsidRPr="009E2BFB">
        <w:t>2.4</w:t>
      </w:r>
      <w:r w:rsidR="002A7620" w:rsidRPr="009E2BFB">
        <w:t xml:space="preserve"> pence (2014: </w:t>
      </w:r>
      <w:r w:rsidRPr="009E2BFB">
        <w:t>1.8 pence</w:t>
      </w:r>
      <w:r w:rsidR="002A7620" w:rsidRPr="009E2BFB">
        <w:t>)</w:t>
      </w:r>
      <w:r w:rsidRPr="009E2BFB">
        <w:t xml:space="preserve"> per ordinary share</w:t>
      </w:r>
      <w:r w:rsidR="00840910" w:rsidRPr="009E2BFB">
        <w:t>.</w:t>
      </w:r>
    </w:p>
    <w:p w14:paraId="34282365" w14:textId="4244ECE0" w:rsidR="00EA63FD" w:rsidRPr="007F2B7D" w:rsidRDefault="0040081D" w:rsidP="008B6E25">
      <w:pPr>
        <w:pStyle w:val="Heading3"/>
      </w:pPr>
      <w:r>
        <w:t xml:space="preserve">PRINCIPAL RISKS </w:t>
      </w:r>
    </w:p>
    <w:p w14:paraId="02E2B27C" w14:textId="2AF76FEF" w:rsidR="00EA63FD" w:rsidRPr="009F2075" w:rsidRDefault="00EA63FD" w:rsidP="003145A7">
      <w:pPr>
        <w:jc w:val="both"/>
      </w:pPr>
      <w:r w:rsidRPr="007F2B7D">
        <w:t>The principal risk factors faced by the Group are identified in the ‘Principal Risks</w:t>
      </w:r>
      <w:r w:rsidR="00761119">
        <w:t>’</w:t>
      </w:r>
      <w:r w:rsidR="00D82E07" w:rsidRPr="007F2B7D">
        <w:t xml:space="preserve"> </w:t>
      </w:r>
      <w:r w:rsidRPr="007F2B7D">
        <w:t>section.</w:t>
      </w:r>
    </w:p>
    <w:p w14:paraId="2BC8B16C" w14:textId="77777777" w:rsidR="00D0507F" w:rsidRDefault="00D0507F">
      <w:pPr>
        <w:spacing w:after="160" w:line="259" w:lineRule="auto"/>
      </w:pPr>
    </w:p>
    <w:p w14:paraId="60EA245C" w14:textId="77777777" w:rsidR="003F313D" w:rsidRDefault="003F313D">
      <w:pPr>
        <w:spacing w:after="160" w:line="259" w:lineRule="auto"/>
        <w:rPr>
          <w:rFonts w:asciiTheme="majorHAnsi" w:eastAsiaTheme="majorEastAsia" w:hAnsiTheme="majorHAnsi" w:cstheme="majorBidi"/>
          <w:sz w:val="56"/>
          <w:szCs w:val="32"/>
        </w:rPr>
      </w:pPr>
      <w:r>
        <w:br w:type="page"/>
      </w:r>
    </w:p>
    <w:p w14:paraId="4D4B49DC" w14:textId="06896B68" w:rsidR="00EA63FD" w:rsidRPr="00364452" w:rsidRDefault="00D0507F" w:rsidP="00B626AD">
      <w:pPr>
        <w:pStyle w:val="Heading1"/>
      </w:pPr>
      <w:r w:rsidRPr="00364452">
        <w:lastRenderedPageBreak/>
        <w:t xml:space="preserve">Principal </w:t>
      </w:r>
      <w:r w:rsidR="00D82E07">
        <w:t xml:space="preserve">risks </w:t>
      </w:r>
    </w:p>
    <w:p w14:paraId="5C5D5DA7" w14:textId="661B5E27" w:rsidR="00D0507F" w:rsidRDefault="00BE3188" w:rsidP="0033597D">
      <w:pPr>
        <w:keepNext/>
        <w:keepLines/>
        <w:jc w:val="both"/>
      </w:pPr>
      <w:r w:rsidRPr="00BB6FE0">
        <w:t xml:space="preserve">There are a number of risks facing the business in the forthcoming financial year. The </w:t>
      </w:r>
      <w:r w:rsidR="002F155B">
        <w:t>table below details the principal risks and how the Group mitigates these risks</w:t>
      </w:r>
      <w:r w:rsidRPr="00BB6FE0">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536"/>
        <w:gridCol w:w="4536"/>
      </w:tblGrid>
      <w:tr w:rsidR="002F155B" w:rsidRPr="00716EDB" w14:paraId="1E1AE09F" w14:textId="77777777" w:rsidTr="00C757AD">
        <w:tc>
          <w:tcPr>
            <w:tcW w:w="4536" w:type="dxa"/>
            <w:tcBorders>
              <w:top w:val="single" w:sz="4" w:space="0" w:color="93B7BB"/>
              <w:bottom w:val="single" w:sz="4" w:space="0" w:color="93B7BB"/>
            </w:tcBorders>
          </w:tcPr>
          <w:p w14:paraId="57BC33F0" w14:textId="77777777" w:rsidR="002F155B" w:rsidRPr="00BB6FE0" w:rsidRDefault="002F155B" w:rsidP="00C757AD">
            <w:pPr>
              <w:pStyle w:val="Tableheading"/>
              <w:keepNext/>
              <w:keepLines/>
              <w:rPr>
                <w:b/>
              </w:rPr>
            </w:pPr>
            <w:r w:rsidRPr="00BB6FE0">
              <w:rPr>
                <w:b/>
              </w:rPr>
              <w:t>Risk</w:t>
            </w:r>
          </w:p>
        </w:tc>
        <w:tc>
          <w:tcPr>
            <w:tcW w:w="4536" w:type="dxa"/>
            <w:tcBorders>
              <w:top w:val="single" w:sz="4" w:space="0" w:color="93B7BB"/>
              <w:bottom w:val="single" w:sz="4" w:space="0" w:color="93B7BB"/>
            </w:tcBorders>
          </w:tcPr>
          <w:p w14:paraId="6A21648A" w14:textId="77777777" w:rsidR="002F155B" w:rsidRPr="00BB6FE0" w:rsidRDefault="002F155B" w:rsidP="00C757AD">
            <w:pPr>
              <w:pStyle w:val="Tableheading"/>
              <w:keepNext/>
              <w:keepLines/>
              <w:rPr>
                <w:b/>
              </w:rPr>
            </w:pPr>
            <w:r w:rsidRPr="00BB6FE0">
              <w:rPr>
                <w:b/>
              </w:rPr>
              <w:t>Mitigation of risk</w:t>
            </w:r>
          </w:p>
        </w:tc>
      </w:tr>
      <w:tr w:rsidR="002F155B" w:rsidRPr="00716EDB" w14:paraId="459DD695" w14:textId="77777777" w:rsidTr="00C757AD">
        <w:tc>
          <w:tcPr>
            <w:tcW w:w="4536" w:type="dxa"/>
          </w:tcPr>
          <w:p w14:paraId="64B197A0" w14:textId="77777777" w:rsidR="002F155B" w:rsidRPr="00716EDB" w:rsidRDefault="002F155B" w:rsidP="00C757AD">
            <w:pPr>
              <w:pStyle w:val="Tabletext"/>
              <w:keepNext/>
              <w:keepLines/>
            </w:pPr>
            <w:r w:rsidRPr="00716EDB">
              <w:t>Availability of key medical staff</w:t>
            </w:r>
          </w:p>
        </w:tc>
        <w:tc>
          <w:tcPr>
            <w:tcW w:w="4536" w:type="dxa"/>
          </w:tcPr>
          <w:p w14:paraId="0C12BB08" w14:textId="2A2EA73C" w:rsidR="002F155B" w:rsidRPr="00716EDB" w:rsidRDefault="002F155B" w:rsidP="002F155B">
            <w:pPr>
              <w:pStyle w:val="Tabletext"/>
              <w:keepNext/>
              <w:keepLines/>
            </w:pPr>
            <w:r w:rsidRPr="00716EDB">
              <w:t>The Board focuses on staff retention, evidenced by very high levels of staff satisfaction and</w:t>
            </w:r>
            <w:r>
              <w:t>,</w:t>
            </w:r>
            <w:r w:rsidRPr="00716EDB">
              <w:t xml:space="preserve"> hence</w:t>
            </w:r>
            <w:r>
              <w:t>,</w:t>
            </w:r>
            <w:r w:rsidRPr="00716EDB">
              <w:t xml:space="preserve"> low staff turnover, and its excellent reputation to attract new staff.</w:t>
            </w:r>
          </w:p>
        </w:tc>
      </w:tr>
      <w:tr w:rsidR="002F155B" w:rsidRPr="00716EDB" w14:paraId="7C9314DD" w14:textId="77777777" w:rsidTr="002F155B">
        <w:tc>
          <w:tcPr>
            <w:tcW w:w="4536" w:type="dxa"/>
          </w:tcPr>
          <w:p w14:paraId="51C5D79A" w14:textId="31946B68" w:rsidR="002F155B" w:rsidRPr="0015087B" w:rsidRDefault="002F155B" w:rsidP="00C757AD">
            <w:pPr>
              <w:pStyle w:val="Tabletext"/>
              <w:keepNext/>
              <w:keepLines/>
            </w:pPr>
            <w:r>
              <w:t>Clinical care</w:t>
            </w:r>
          </w:p>
        </w:tc>
        <w:tc>
          <w:tcPr>
            <w:tcW w:w="4536" w:type="dxa"/>
          </w:tcPr>
          <w:p w14:paraId="2DED1D8A" w14:textId="6E412D3E" w:rsidR="002F155B" w:rsidRPr="0015087B" w:rsidRDefault="00872101" w:rsidP="00C757AD">
            <w:pPr>
              <w:pStyle w:val="Tabletext"/>
              <w:keepNext/>
              <w:keepLines/>
            </w:pPr>
            <w:r>
              <w:t>The Group continually monitors its clinical standards, policies and procedures through the Board’s Clinical Governance and Safety Committee.</w:t>
            </w:r>
          </w:p>
        </w:tc>
      </w:tr>
      <w:tr w:rsidR="002F155B" w:rsidRPr="00716EDB" w14:paraId="0C5C5E1F" w14:textId="77777777" w:rsidTr="002F155B">
        <w:tc>
          <w:tcPr>
            <w:tcW w:w="4536" w:type="dxa"/>
          </w:tcPr>
          <w:p w14:paraId="44FEA5DC" w14:textId="2911EBF4" w:rsidR="002F155B" w:rsidRPr="0015087B" w:rsidRDefault="002F155B" w:rsidP="002F155B">
            <w:pPr>
              <w:pStyle w:val="Tabletext"/>
              <w:keepNext/>
              <w:keepLines/>
            </w:pPr>
            <w:r>
              <w:t>M</w:t>
            </w:r>
            <w:r w:rsidRPr="0015087B">
              <w:t>acroeconomic conditions</w:t>
            </w:r>
          </w:p>
        </w:tc>
        <w:tc>
          <w:tcPr>
            <w:tcW w:w="4536" w:type="dxa"/>
          </w:tcPr>
          <w:p w14:paraId="782DB3EC" w14:textId="38307E1F" w:rsidR="002F155B" w:rsidRPr="0015087B" w:rsidRDefault="002F155B" w:rsidP="00C757AD">
            <w:pPr>
              <w:pStyle w:val="Tabletext"/>
              <w:keepNext/>
              <w:keepLines/>
            </w:pPr>
            <w:r w:rsidRPr="0015087B">
              <w:t>The Board regularly reviews market conditions and economic indicators to assess whether actions are required.</w:t>
            </w:r>
          </w:p>
        </w:tc>
      </w:tr>
      <w:tr w:rsidR="002F155B" w:rsidRPr="00716EDB" w14:paraId="4F1D3112" w14:textId="77777777" w:rsidTr="00C757AD">
        <w:trPr>
          <w:trHeight w:val="353"/>
        </w:trPr>
        <w:tc>
          <w:tcPr>
            <w:tcW w:w="4536" w:type="dxa"/>
          </w:tcPr>
          <w:p w14:paraId="71573D02" w14:textId="1ED29734" w:rsidR="002F155B" w:rsidRPr="0015087B" w:rsidRDefault="002F155B" w:rsidP="00C757AD">
            <w:pPr>
              <w:pStyle w:val="Tabletext"/>
              <w:keepNext/>
              <w:keepLines/>
            </w:pPr>
            <w:r>
              <w:t>G</w:t>
            </w:r>
            <w:r w:rsidRPr="0015087B">
              <w:t xml:space="preserve">overnment policy </w:t>
            </w:r>
          </w:p>
        </w:tc>
        <w:tc>
          <w:tcPr>
            <w:tcW w:w="4536" w:type="dxa"/>
          </w:tcPr>
          <w:p w14:paraId="3ACC6A77" w14:textId="77777777" w:rsidR="002F155B" w:rsidRPr="0015087B" w:rsidRDefault="002F155B" w:rsidP="00C757AD">
            <w:pPr>
              <w:pStyle w:val="Tabletext"/>
              <w:keepNext/>
              <w:keepLines/>
            </w:pPr>
            <w:r w:rsidRPr="0015087B">
              <w:t>The Board continually monitors government policy, NHS requirements and associated tariff structures to consider the need for cost and/or investment reduction, whether in the short, medium or long term.</w:t>
            </w:r>
          </w:p>
        </w:tc>
      </w:tr>
      <w:tr w:rsidR="002F155B" w:rsidRPr="00716EDB" w14:paraId="79EB40F3" w14:textId="77777777" w:rsidTr="00C757AD">
        <w:tc>
          <w:tcPr>
            <w:tcW w:w="4536" w:type="dxa"/>
          </w:tcPr>
          <w:p w14:paraId="2DF05136" w14:textId="7BAF944E" w:rsidR="002F155B" w:rsidRPr="0015087B" w:rsidRDefault="00D91077" w:rsidP="00D91077">
            <w:pPr>
              <w:pStyle w:val="Tabletext"/>
              <w:keepNext/>
              <w:keepLines/>
            </w:pPr>
            <w:r>
              <w:t>Compliance with l</w:t>
            </w:r>
            <w:r w:rsidR="002F155B" w:rsidRPr="0015087B">
              <w:t xml:space="preserve">aws, regulations and </w:t>
            </w:r>
            <w:r>
              <w:t xml:space="preserve">other applicable requirements </w:t>
            </w:r>
          </w:p>
        </w:tc>
        <w:tc>
          <w:tcPr>
            <w:tcW w:w="4536" w:type="dxa"/>
          </w:tcPr>
          <w:p w14:paraId="77685E01" w14:textId="495BCC32" w:rsidR="002F155B" w:rsidRPr="0015087B" w:rsidRDefault="007A2537" w:rsidP="00C757AD">
            <w:pPr>
              <w:pStyle w:val="Tabletext"/>
              <w:keepNext/>
              <w:keepLines/>
            </w:pPr>
            <w:r>
              <w:t>T</w:t>
            </w:r>
            <w:r w:rsidR="002F155B" w:rsidRPr="0015087B">
              <w:t xml:space="preserve">he Group is in the process of </w:t>
            </w:r>
            <w:r w:rsidR="00C757AD">
              <w:t>strengthening its group-</w:t>
            </w:r>
            <w:r w:rsidR="002F155B" w:rsidRPr="0015087B">
              <w:t xml:space="preserve">wide risk management framework (and associated policies and procedures) </w:t>
            </w:r>
            <w:r w:rsidR="00C757AD">
              <w:t xml:space="preserve">to ensure </w:t>
            </w:r>
            <w:r w:rsidR="002F155B" w:rsidRPr="0015087B">
              <w:t>th</w:t>
            </w:r>
            <w:r w:rsidR="00C757AD">
              <w:t>at</w:t>
            </w:r>
            <w:r w:rsidR="002F155B" w:rsidRPr="0015087B">
              <w:t xml:space="preserve"> </w:t>
            </w:r>
            <w:r w:rsidR="00C757AD">
              <w:t xml:space="preserve">risks </w:t>
            </w:r>
            <w:r w:rsidR="002F155B" w:rsidRPr="0015087B">
              <w:t xml:space="preserve">are mitigated as far as possible. </w:t>
            </w:r>
          </w:p>
        </w:tc>
      </w:tr>
      <w:tr w:rsidR="00C757AD" w:rsidRPr="00716EDB" w14:paraId="6168F7CC" w14:textId="77777777" w:rsidTr="00C757AD">
        <w:tc>
          <w:tcPr>
            <w:tcW w:w="4536" w:type="dxa"/>
          </w:tcPr>
          <w:p w14:paraId="29769DEB" w14:textId="77777777" w:rsidR="00C757AD" w:rsidRPr="00716EDB" w:rsidRDefault="00C757AD" w:rsidP="00C757AD">
            <w:pPr>
              <w:pStyle w:val="Tabletext"/>
              <w:keepNext/>
              <w:keepLines/>
            </w:pPr>
            <w:r w:rsidRPr="00716EDB">
              <w:t>Competitor challenge</w:t>
            </w:r>
          </w:p>
        </w:tc>
        <w:tc>
          <w:tcPr>
            <w:tcW w:w="4536" w:type="dxa"/>
          </w:tcPr>
          <w:p w14:paraId="46951C3C" w14:textId="77777777" w:rsidR="00C757AD" w:rsidRPr="00716EDB" w:rsidRDefault="00C757AD" w:rsidP="00C757AD">
            <w:pPr>
              <w:pStyle w:val="Tabletext"/>
              <w:keepNext/>
              <w:keepLines/>
            </w:pPr>
            <w:r w:rsidRPr="00716EDB">
              <w:t>The Group maintains a watching brief on new and existing competitor activity and retains the ability to react quickly to changes in patients and market demand.</w:t>
            </w:r>
          </w:p>
        </w:tc>
      </w:tr>
      <w:tr w:rsidR="00C757AD" w:rsidRPr="00716EDB" w14:paraId="1CC72074" w14:textId="77777777" w:rsidTr="00C757AD">
        <w:tc>
          <w:tcPr>
            <w:tcW w:w="4536" w:type="dxa"/>
          </w:tcPr>
          <w:p w14:paraId="25751CE0" w14:textId="625125BF" w:rsidR="00C757AD" w:rsidRPr="0015087B" w:rsidRDefault="00F72F1F" w:rsidP="00C757AD">
            <w:pPr>
              <w:pStyle w:val="Tabletext"/>
              <w:keepNext/>
              <w:keepLines/>
            </w:pPr>
            <w:r>
              <w:t>Insurance</w:t>
            </w:r>
          </w:p>
        </w:tc>
        <w:tc>
          <w:tcPr>
            <w:tcW w:w="4536" w:type="dxa"/>
          </w:tcPr>
          <w:p w14:paraId="18E1780C" w14:textId="695FBE2A" w:rsidR="00C757AD" w:rsidRPr="0015087B" w:rsidRDefault="00F72F1F" w:rsidP="00C757AD">
            <w:pPr>
              <w:pStyle w:val="Tabletext"/>
              <w:keepNext/>
              <w:keepLines/>
            </w:pPr>
            <w:r>
              <w:t xml:space="preserve">The Group holds third-party liability insurance to partially cover patient, third-party and employee personal injury claims, and is partially self-insured up to pre-determined levels, above which its third-party liability insurance applies. The Group reviews and maintains insurance adequacy of cover annually with the Group’s brokers. </w:t>
            </w:r>
          </w:p>
        </w:tc>
      </w:tr>
      <w:tr w:rsidR="00C757AD" w:rsidRPr="00716EDB" w14:paraId="37B9B36B" w14:textId="77777777" w:rsidTr="00C757AD">
        <w:tc>
          <w:tcPr>
            <w:tcW w:w="4536" w:type="dxa"/>
          </w:tcPr>
          <w:p w14:paraId="7DF71CB8" w14:textId="190F37EA" w:rsidR="00C757AD" w:rsidRPr="0015087B" w:rsidRDefault="00F72F1F" w:rsidP="00C757AD">
            <w:pPr>
              <w:pStyle w:val="Tabletext"/>
              <w:keepNext/>
              <w:keepLines/>
            </w:pPr>
            <w:r>
              <w:t>Cyber security</w:t>
            </w:r>
          </w:p>
        </w:tc>
        <w:tc>
          <w:tcPr>
            <w:tcW w:w="4536" w:type="dxa"/>
          </w:tcPr>
          <w:p w14:paraId="0C15B47C" w14:textId="46F8BBA8" w:rsidR="00C757AD" w:rsidRPr="0015087B" w:rsidRDefault="00F72F1F" w:rsidP="00F72F1F">
            <w:pPr>
              <w:pStyle w:val="Tabletext"/>
              <w:keepNext/>
              <w:keepLines/>
            </w:pPr>
            <w:r>
              <w:t xml:space="preserve">The Group has a three-year IT Plan outlining the IT strategy developed in order to support the business. The Group’s Information Technology Continuity Plans continue to be reviewed, updated and tested to ensure relevance. </w:t>
            </w:r>
          </w:p>
        </w:tc>
      </w:tr>
      <w:tr w:rsidR="00F72F1F" w:rsidRPr="00716EDB" w14:paraId="2691F644" w14:textId="77777777" w:rsidTr="00254330">
        <w:tc>
          <w:tcPr>
            <w:tcW w:w="4536" w:type="dxa"/>
          </w:tcPr>
          <w:p w14:paraId="791FA6C7" w14:textId="02AF7755" w:rsidR="00F72F1F" w:rsidRPr="00716EDB" w:rsidRDefault="00F72F1F" w:rsidP="00F72F1F">
            <w:pPr>
              <w:pStyle w:val="Tabletext"/>
              <w:keepNext/>
              <w:keepLines/>
            </w:pPr>
            <w:r>
              <w:t>Concentration of t</w:t>
            </w:r>
            <w:r w:rsidRPr="00716EDB">
              <w:t xml:space="preserve">he private medical insurance (‘PMI’) market </w:t>
            </w:r>
          </w:p>
        </w:tc>
        <w:tc>
          <w:tcPr>
            <w:tcW w:w="4536" w:type="dxa"/>
          </w:tcPr>
          <w:p w14:paraId="4E4E2298" w14:textId="75827636" w:rsidR="00F72F1F" w:rsidRPr="00716EDB" w:rsidRDefault="00F72F1F" w:rsidP="00D74DAE">
            <w:pPr>
              <w:pStyle w:val="Tabletext"/>
              <w:keepNext/>
              <w:keepLines/>
            </w:pPr>
            <w:r w:rsidRPr="00716EDB">
              <w:t xml:space="preserve">The Group works hard to maintain good relationships with the PMI companies </w:t>
            </w:r>
            <w:r w:rsidR="00D74DAE">
              <w:t>in delivering high-</w:t>
            </w:r>
            <w:r w:rsidRPr="00716EDB">
              <w:t>quality patient care.</w:t>
            </w:r>
            <w:r w:rsidR="00B06EB3">
              <w:t xml:space="preserve"> The Board believes continuing to invest in its well-placed portfolio of hospitals should provide a natural fit to the local requirements of all the PMI providers.</w:t>
            </w:r>
          </w:p>
        </w:tc>
      </w:tr>
      <w:tr w:rsidR="004F37C8" w:rsidRPr="00716EDB" w14:paraId="6F417A39" w14:textId="77777777" w:rsidTr="00254330">
        <w:tc>
          <w:tcPr>
            <w:tcW w:w="4536" w:type="dxa"/>
          </w:tcPr>
          <w:p w14:paraId="10C537EC" w14:textId="77777777" w:rsidR="004F37C8" w:rsidRPr="00716EDB" w:rsidRDefault="004F37C8" w:rsidP="00254330">
            <w:pPr>
              <w:pStyle w:val="Tabletext"/>
              <w:keepNext/>
              <w:keepLines/>
            </w:pPr>
            <w:r w:rsidRPr="00716EDB">
              <w:t>Investment plans and execution</w:t>
            </w:r>
          </w:p>
        </w:tc>
        <w:tc>
          <w:tcPr>
            <w:tcW w:w="4536" w:type="dxa"/>
          </w:tcPr>
          <w:p w14:paraId="78FF2528" w14:textId="45B8706C" w:rsidR="004F37C8" w:rsidRPr="00716EDB" w:rsidRDefault="004F37C8" w:rsidP="004F37C8">
            <w:pPr>
              <w:pStyle w:val="Tabletext"/>
              <w:keepNext/>
              <w:keepLines/>
            </w:pPr>
            <w:r w:rsidRPr="00716EDB">
              <w:t xml:space="preserve">The Group </w:t>
            </w:r>
            <w:r>
              <w:t>conducts a detailed financial and operational appraisal process to evaluate the expected returns on capital during the evaluation phase of the project. Regular reporting of all significant projects to the executive sponsor and the Board</w:t>
            </w:r>
            <w:r w:rsidRPr="00716EDB">
              <w:t>.</w:t>
            </w:r>
          </w:p>
        </w:tc>
      </w:tr>
      <w:tr w:rsidR="002F155B" w:rsidRPr="00716EDB" w14:paraId="0924E98E" w14:textId="77777777" w:rsidTr="00C757AD">
        <w:tc>
          <w:tcPr>
            <w:tcW w:w="4536" w:type="dxa"/>
            <w:tcBorders>
              <w:bottom w:val="single" w:sz="4" w:space="0" w:color="93B7BB"/>
            </w:tcBorders>
          </w:tcPr>
          <w:p w14:paraId="116EA66F" w14:textId="2F0BE181" w:rsidR="002F155B" w:rsidRPr="00716EDB" w:rsidRDefault="004F37C8" w:rsidP="00C757AD">
            <w:pPr>
              <w:pStyle w:val="Tabletext"/>
              <w:keepNext/>
              <w:keepLines/>
            </w:pPr>
            <w:r>
              <w:t>Liquidity and covenant risk</w:t>
            </w:r>
          </w:p>
        </w:tc>
        <w:tc>
          <w:tcPr>
            <w:tcW w:w="4536" w:type="dxa"/>
            <w:tcBorders>
              <w:bottom w:val="single" w:sz="4" w:space="0" w:color="93B7BB"/>
            </w:tcBorders>
          </w:tcPr>
          <w:p w14:paraId="5CF39EEE" w14:textId="540697BA" w:rsidR="002F155B" w:rsidRPr="00716EDB" w:rsidRDefault="00872101" w:rsidP="00872101">
            <w:pPr>
              <w:pStyle w:val="Tabletext"/>
              <w:keepNext/>
              <w:keepLines/>
            </w:pPr>
            <w:r>
              <w:t>The Group actively monitors and manages its liquid asset position, its financial liabilities falling due and the cover against its loan covenants</w:t>
            </w:r>
            <w:r w:rsidR="002F155B" w:rsidRPr="00716EDB">
              <w:t>.</w:t>
            </w:r>
          </w:p>
        </w:tc>
      </w:tr>
    </w:tbl>
    <w:p w14:paraId="266E2251" w14:textId="2945E5B0" w:rsidR="00C830B4" w:rsidRDefault="00C830B4" w:rsidP="0033597D">
      <w:pPr>
        <w:jc w:val="both"/>
      </w:pPr>
    </w:p>
    <w:p w14:paraId="49DF7071" w14:textId="77777777" w:rsidR="00163A1F" w:rsidRDefault="00163A1F" w:rsidP="00163A1F">
      <w:pPr>
        <w:pStyle w:val="Heading1"/>
        <w:pageBreakBefore/>
      </w:pPr>
      <w:r w:rsidRPr="00B701E3">
        <w:lastRenderedPageBreak/>
        <w:t>Directors’ responsibility statemen</w:t>
      </w:r>
      <w:r>
        <w:t>t</w:t>
      </w:r>
    </w:p>
    <w:p w14:paraId="1BE98807" w14:textId="77777777" w:rsidR="00A7680F" w:rsidRDefault="00A7680F" w:rsidP="000360D9">
      <w:pPr>
        <w:keepNext/>
        <w:keepLines/>
        <w:jc w:val="both"/>
      </w:pPr>
      <w:r>
        <w:t>Each of the Directors confirms that</w:t>
      </w:r>
      <w:r w:rsidR="0084424D">
        <w:t>,</w:t>
      </w:r>
      <w:r>
        <w:t xml:space="preserve"> to the best of their knowledge: </w:t>
      </w:r>
    </w:p>
    <w:p w14:paraId="69143A60" w14:textId="77777777" w:rsidR="00A21686" w:rsidRDefault="0084424D" w:rsidP="000360D9">
      <w:pPr>
        <w:pStyle w:val="ListParagraph"/>
        <w:keepNext/>
        <w:keepLines/>
        <w:numPr>
          <w:ilvl w:val="0"/>
          <w:numId w:val="30"/>
        </w:numPr>
        <w:jc w:val="both"/>
      </w:pPr>
      <w:r>
        <w:t xml:space="preserve">the preliminary financial information, which has been prepared in accordance with International Financial Reporting Standards as adopted by the European Union (‘IFRS’), give a true and fair view of the assets, liabilities, financial position and profit </w:t>
      </w:r>
      <w:r w:rsidR="00A21686">
        <w:t xml:space="preserve">or loss </w:t>
      </w:r>
      <w:r>
        <w:t xml:space="preserve">of the </w:t>
      </w:r>
      <w:r w:rsidR="00A21686">
        <w:t>Company on a consolidated and individual basis; and</w:t>
      </w:r>
    </w:p>
    <w:p w14:paraId="481059CE" w14:textId="06F1CD84" w:rsidR="00163A1F" w:rsidRDefault="00A21686" w:rsidP="000360D9">
      <w:pPr>
        <w:pStyle w:val="ListParagraph"/>
        <w:keepNext/>
        <w:keepLines/>
        <w:numPr>
          <w:ilvl w:val="0"/>
          <w:numId w:val="30"/>
        </w:numPr>
        <w:jc w:val="both"/>
      </w:pPr>
      <w:proofErr w:type="gramStart"/>
      <w:r>
        <w:t>the</w:t>
      </w:r>
      <w:proofErr w:type="gramEnd"/>
      <w:r>
        <w:t xml:space="preserve"> preliminary announcement includes a fair summary of the development and performance of the business and the position of the Company on a consolidated and individual basis, together with a description of the principal risks that it faces</w:t>
      </w:r>
      <w:r w:rsidR="00710096" w:rsidRPr="00710096">
        <w:t>.</w:t>
      </w:r>
    </w:p>
    <w:p w14:paraId="58F11B2F" w14:textId="77777777" w:rsidR="00163A1F" w:rsidRDefault="00163A1F" w:rsidP="00A21686"/>
    <w:p w14:paraId="21977FE8" w14:textId="7462E4FF" w:rsidR="004142B9" w:rsidRDefault="004142B9" w:rsidP="00A21686">
      <w:r>
        <w:t>By order of the Board,</w:t>
      </w:r>
    </w:p>
    <w:p w14:paraId="49D34D1E" w14:textId="77777777" w:rsidR="004142B9" w:rsidRDefault="004142B9" w:rsidP="00A21686"/>
    <w:p w14:paraId="5444F474" w14:textId="77777777" w:rsidR="004142B9" w:rsidRDefault="004142B9" w:rsidP="00A21686"/>
    <w:p w14:paraId="6E1B47C2" w14:textId="41AF22A0" w:rsidR="004142B9" w:rsidRPr="00163A1F" w:rsidRDefault="004142B9" w:rsidP="00A21686">
      <w:r w:rsidRPr="004142B9">
        <w:rPr>
          <w:b/>
        </w:rPr>
        <w:t>Rob Roger</w:t>
      </w:r>
      <w:r>
        <w:rPr>
          <w:b/>
        </w:rPr>
        <w:tab/>
      </w:r>
      <w:r>
        <w:rPr>
          <w:b/>
        </w:rPr>
        <w:tab/>
      </w:r>
      <w:r>
        <w:rPr>
          <w:b/>
        </w:rPr>
        <w:tab/>
        <w:t>Simon Gordon</w:t>
      </w:r>
      <w:r w:rsidRPr="004142B9">
        <w:br/>
      </w:r>
      <w:r>
        <w:t>Chief Executive Officer</w:t>
      </w:r>
      <w:r>
        <w:tab/>
      </w:r>
      <w:r>
        <w:tab/>
        <w:t>Chief Financial Officer</w:t>
      </w:r>
      <w:r w:rsidRPr="00FC230B">
        <w:br/>
      </w:r>
      <w:r w:rsidRPr="00FC230B">
        <w:br/>
      </w:r>
      <w:r>
        <w:t>16 March 2016</w:t>
      </w:r>
    </w:p>
    <w:p w14:paraId="34ACB5B7" w14:textId="77777777" w:rsidR="00163A1F" w:rsidRPr="00364452" w:rsidRDefault="00163A1F" w:rsidP="00163A1F">
      <w:pPr>
        <w:pStyle w:val="Heading1"/>
        <w:pageBreakBefore/>
      </w:pPr>
      <w:r w:rsidRPr="00364452">
        <w:lastRenderedPageBreak/>
        <w:t>Consolidated income statement</w:t>
      </w:r>
    </w:p>
    <w:p w14:paraId="60C3FD94" w14:textId="4BE650B6" w:rsidR="00B22F3C" w:rsidRPr="00C34AE4" w:rsidRDefault="00B22F3C" w:rsidP="00B626AD">
      <w:pPr>
        <w:pStyle w:val="Heading3"/>
      </w:pPr>
      <w:r w:rsidRPr="00C34AE4">
        <w:t>For the year ended 31 December 201</w:t>
      </w:r>
      <w:r w:rsidR="0008362A">
        <w:t>5</w:t>
      </w:r>
    </w:p>
    <w:tbl>
      <w:tblPr>
        <w:tblW w:w="9072" w:type="dxa"/>
        <w:tblLayout w:type="fixed"/>
        <w:tblCellMar>
          <w:left w:w="0" w:type="dxa"/>
          <w:right w:w="57" w:type="dxa"/>
        </w:tblCellMar>
        <w:tblLook w:val="0000" w:firstRow="0" w:lastRow="0" w:firstColumn="0" w:lastColumn="0" w:noHBand="0" w:noVBand="0"/>
      </w:tblPr>
      <w:tblGrid>
        <w:gridCol w:w="5809"/>
        <w:gridCol w:w="1087"/>
        <w:gridCol w:w="1088"/>
        <w:gridCol w:w="1088"/>
      </w:tblGrid>
      <w:tr w:rsidR="0015087B" w:rsidRPr="00716EDB" w14:paraId="7004FA14" w14:textId="77777777" w:rsidTr="00A74C32">
        <w:tc>
          <w:tcPr>
            <w:tcW w:w="5809" w:type="dxa"/>
            <w:tcBorders>
              <w:bottom w:val="single" w:sz="4" w:space="0" w:color="93B7BB"/>
            </w:tcBorders>
            <w:vAlign w:val="bottom"/>
          </w:tcPr>
          <w:p w14:paraId="59E3F746" w14:textId="77777777" w:rsidR="0015087B" w:rsidRPr="0015087B" w:rsidRDefault="0015087B" w:rsidP="00B626AD">
            <w:pPr>
              <w:pStyle w:val="Tableheading"/>
              <w:keepNext/>
              <w:keepLines/>
            </w:pPr>
            <w:r w:rsidRPr="0015087B">
              <w:t>(£ million)</w:t>
            </w:r>
          </w:p>
        </w:tc>
        <w:tc>
          <w:tcPr>
            <w:tcW w:w="1087" w:type="dxa"/>
            <w:tcBorders>
              <w:bottom w:val="single" w:sz="4" w:space="0" w:color="93B7BB"/>
            </w:tcBorders>
            <w:vAlign w:val="bottom"/>
          </w:tcPr>
          <w:p w14:paraId="19921079" w14:textId="77777777" w:rsidR="0015087B" w:rsidRPr="0015087B" w:rsidRDefault="0015087B" w:rsidP="005A27EF">
            <w:pPr>
              <w:pStyle w:val="Tableheading"/>
              <w:keepNext/>
              <w:keepLines/>
              <w:jc w:val="right"/>
            </w:pPr>
            <w:r w:rsidRPr="0015087B">
              <w:t>Notes</w:t>
            </w:r>
          </w:p>
        </w:tc>
        <w:tc>
          <w:tcPr>
            <w:tcW w:w="1088" w:type="dxa"/>
            <w:tcBorders>
              <w:bottom w:val="single" w:sz="4" w:space="0" w:color="93B7BB"/>
            </w:tcBorders>
            <w:vAlign w:val="bottom"/>
          </w:tcPr>
          <w:p w14:paraId="138EB5D8" w14:textId="3D0769E7" w:rsidR="0015087B" w:rsidRPr="0015087B" w:rsidRDefault="0015087B" w:rsidP="0008362A">
            <w:pPr>
              <w:pStyle w:val="Tableheading"/>
              <w:keepNext/>
              <w:keepLines/>
              <w:jc w:val="right"/>
              <w:rPr>
                <w:b/>
              </w:rPr>
            </w:pPr>
            <w:r w:rsidRPr="0015087B">
              <w:rPr>
                <w:b/>
              </w:rPr>
              <w:t>201</w:t>
            </w:r>
            <w:r w:rsidR="0008362A">
              <w:rPr>
                <w:b/>
              </w:rPr>
              <w:t>5</w:t>
            </w:r>
          </w:p>
        </w:tc>
        <w:tc>
          <w:tcPr>
            <w:tcW w:w="1088" w:type="dxa"/>
            <w:tcBorders>
              <w:bottom w:val="single" w:sz="4" w:space="0" w:color="93B7BB"/>
            </w:tcBorders>
            <w:vAlign w:val="bottom"/>
          </w:tcPr>
          <w:p w14:paraId="64E2E8AC" w14:textId="40491D15" w:rsidR="0015087B" w:rsidRPr="0015087B" w:rsidRDefault="0015087B" w:rsidP="0008362A">
            <w:pPr>
              <w:pStyle w:val="Tableheading"/>
              <w:keepNext/>
              <w:keepLines/>
              <w:jc w:val="right"/>
            </w:pPr>
            <w:r w:rsidRPr="0015087B">
              <w:t>201</w:t>
            </w:r>
            <w:r w:rsidR="0008362A">
              <w:t>4</w:t>
            </w:r>
          </w:p>
        </w:tc>
      </w:tr>
      <w:tr w:rsidR="009A30C6" w:rsidRPr="00716EDB" w14:paraId="31EBFE9E" w14:textId="77777777" w:rsidTr="00A74C32">
        <w:tc>
          <w:tcPr>
            <w:tcW w:w="5809" w:type="dxa"/>
            <w:tcBorders>
              <w:top w:val="single" w:sz="4" w:space="0" w:color="93B7BB"/>
            </w:tcBorders>
            <w:vAlign w:val="bottom"/>
          </w:tcPr>
          <w:p w14:paraId="09FACB2D" w14:textId="77777777" w:rsidR="009E3DBD" w:rsidRPr="0015087B" w:rsidRDefault="009E3DBD" w:rsidP="00B626AD">
            <w:pPr>
              <w:pStyle w:val="Tabletext"/>
              <w:keepNext/>
              <w:keepLines/>
              <w:rPr>
                <w:b/>
              </w:rPr>
            </w:pPr>
            <w:r w:rsidRPr="0015087B">
              <w:rPr>
                <w:b/>
              </w:rPr>
              <w:t>Revenue</w:t>
            </w:r>
          </w:p>
        </w:tc>
        <w:tc>
          <w:tcPr>
            <w:tcW w:w="1087" w:type="dxa"/>
            <w:tcBorders>
              <w:top w:val="single" w:sz="4" w:space="0" w:color="93B7BB"/>
            </w:tcBorders>
            <w:vAlign w:val="bottom"/>
          </w:tcPr>
          <w:p w14:paraId="75514533" w14:textId="77777777" w:rsidR="009E3DBD" w:rsidRPr="00716EDB" w:rsidRDefault="009E3DBD" w:rsidP="005A27EF">
            <w:pPr>
              <w:pStyle w:val="Tabletext"/>
              <w:keepNext/>
              <w:keepLines/>
              <w:jc w:val="right"/>
            </w:pPr>
            <w:r w:rsidRPr="00716EDB">
              <w:t>6</w:t>
            </w:r>
          </w:p>
        </w:tc>
        <w:tc>
          <w:tcPr>
            <w:tcW w:w="1088" w:type="dxa"/>
            <w:tcBorders>
              <w:top w:val="single" w:sz="4" w:space="0" w:color="93B7BB"/>
            </w:tcBorders>
            <w:shd w:val="clear" w:color="auto" w:fill="EFF4F5"/>
            <w:vAlign w:val="bottom"/>
          </w:tcPr>
          <w:p w14:paraId="49D8BD26" w14:textId="6B30418A" w:rsidR="009E3DBD" w:rsidRPr="0015087B" w:rsidRDefault="0000246D" w:rsidP="005A27EF">
            <w:pPr>
              <w:pStyle w:val="Tabletext"/>
              <w:keepNext/>
              <w:keepLines/>
              <w:jc w:val="right"/>
              <w:rPr>
                <w:b/>
              </w:rPr>
            </w:pPr>
            <w:r>
              <w:rPr>
                <w:b/>
              </w:rPr>
              <w:t>884.8</w:t>
            </w:r>
          </w:p>
        </w:tc>
        <w:tc>
          <w:tcPr>
            <w:tcW w:w="1088" w:type="dxa"/>
            <w:tcBorders>
              <w:top w:val="single" w:sz="4" w:space="0" w:color="93B7BB"/>
            </w:tcBorders>
            <w:vAlign w:val="bottom"/>
          </w:tcPr>
          <w:p w14:paraId="1ADD2BF4" w14:textId="5A84E9BD" w:rsidR="009E3DBD" w:rsidRPr="0015087B" w:rsidRDefault="00A74C32" w:rsidP="005A27EF">
            <w:pPr>
              <w:pStyle w:val="Tabletext"/>
              <w:keepNext/>
              <w:keepLines/>
              <w:jc w:val="right"/>
              <w:rPr>
                <w:b/>
              </w:rPr>
            </w:pPr>
            <w:r w:rsidRPr="0015087B">
              <w:rPr>
                <w:b/>
              </w:rPr>
              <w:t>856.0</w:t>
            </w:r>
          </w:p>
        </w:tc>
      </w:tr>
      <w:tr w:rsidR="009A30C6" w:rsidRPr="00716EDB" w14:paraId="16852A98" w14:textId="77777777" w:rsidTr="00A74C32">
        <w:tc>
          <w:tcPr>
            <w:tcW w:w="5809" w:type="dxa"/>
            <w:vAlign w:val="bottom"/>
          </w:tcPr>
          <w:p w14:paraId="4593B81C" w14:textId="77777777" w:rsidR="009E3DBD" w:rsidRPr="00716EDB" w:rsidRDefault="009E3DBD" w:rsidP="00B626AD">
            <w:pPr>
              <w:pStyle w:val="Tabletext"/>
              <w:keepNext/>
              <w:keepLines/>
            </w:pPr>
          </w:p>
        </w:tc>
        <w:tc>
          <w:tcPr>
            <w:tcW w:w="1087" w:type="dxa"/>
            <w:vAlign w:val="bottom"/>
          </w:tcPr>
          <w:p w14:paraId="4F0AD34D" w14:textId="77777777" w:rsidR="009E3DBD" w:rsidRPr="00716EDB" w:rsidRDefault="009E3DBD" w:rsidP="005A27EF">
            <w:pPr>
              <w:pStyle w:val="Tabletext"/>
              <w:keepNext/>
              <w:keepLines/>
              <w:jc w:val="right"/>
            </w:pPr>
          </w:p>
        </w:tc>
        <w:tc>
          <w:tcPr>
            <w:tcW w:w="1088" w:type="dxa"/>
            <w:shd w:val="clear" w:color="auto" w:fill="EFF4F5"/>
            <w:vAlign w:val="bottom"/>
          </w:tcPr>
          <w:p w14:paraId="6D591599" w14:textId="77777777" w:rsidR="009E3DBD" w:rsidRPr="00716EDB" w:rsidRDefault="009E3DBD" w:rsidP="005A27EF">
            <w:pPr>
              <w:pStyle w:val="Tabletext"/>
              <w:keepNext/>
              <w:keepLines/>
              <w:jc w:val="right"/>
            </w:pPr>
          </w:p>
        </w:tc>
        <w:tc>
          <w:tcPr>
            <w:tcW w:w="1088" w:type="dxa"/>
            <w:vAlign w:val="bottom"/>
          </w:tcPr>
          <w:p w14:paraId="0D9E8C9D" w14:textId="77777777" w:rsidR="009E3DBD" w:rsidRPr="00716EDB" w:rsidRDefault="009E3DBD" w:rsidP="005A27EF">
            <w:pPr>
              <w:pStyle w:val="Tabletext"/>
              <w:keepNext/>
              <w:keepLines/>
              <w:jc w:val="right"/>
            </w:pPr>
          </w:p>
        </w:tc>
      </w:tr>
      <w:tr w:rsidR="009A30C6" w:rsidRPr="00716EDB" w14:paraId="4E320B35" w14:textId="77777777" w:rsidTr="00A74C32">
        <w:tc>
          <w:tcPr>
            <w:tcW w:w="5809" w:type="dxa"/>
            <w:tcBorders>
              <w:bottom w:val="single" w:sz="4" w:space="0" w:color="93B7BB"/>
            </w:tcBorders>
            <w:vAlign w:val="bottom"/>
          </w:tcPr>
          <w:p w14:paraId="0DBFCE9B" w14:textId="77777777" w:rsidR="009E3DBD" w:rsidRPr="00716EDB" w:rsidRDefault="009E3DBD" w:rsidP="00B626AD">
            <w:pPr>
              <w:pStyle w:val="Tabletext"/>
              <w:keepNext/>
              <w:keepLines/>
            </w:pPr>
            <w:r w:rsidRPr="00716EDB">
              <w:t>Cost of sales</w:t>
            </w:r>
          </w:p>
        </w:tc>
        <w:tc>
          <w:tcPr>
            <w:tcW w:w="1087" w:type="dxa"/>
            <w:tcBorders>
              <w:bottom w:val="single" w:sz="4" w:space="0" w:color="93B7BB"/>
            </w:tcBorders>
            <w:vAlign w:val="bottom"/>
          </w:tcPr>
          <w:p w14:paraId="1265CB6E" w14:textId="77777777" w:rsidR="009E3DBD" w:rsidRPr="00716EDB" w:rsidRDefault="009E3DBD" w:rsidP="005A27EF">
            <w:pPr>
              <w:pStyle w:val="Tabletext"/>
              <w:keepNext/>
              <w:keepLines/>
              <w:jc w:val="right"/>
            </w:pPr>
          </w:p>
        </w:tc>
        <w:tc>
          <w:tcPr>
            <w:tcW w:w="1088" w:type="dxa"/>
            <w:tcBorders>
              <w:bottom w:val="single" w:sz="4" w:space="0" w:color="93B7BB"/>
            </w:tcBorders>
            <w:shd w:val="clear" w:color="auto" w:fill="EFF4F5"/>
            <w:vAlign w:val="bottom"/>
          </w:tcPr>
          <w:p w14:paraId="6639FA80" w14:textId="797B53B8" w:rsidR="009E3DBD" w:rsidRPr="00716EDB" w:rsidRDefault="00EA4C51" w:rsidP="005A27EF">
            <w:pPr>
              <w:pStyle w:val="Tabletext"/>
              <w:keepNext/>
              <w:keepLines/>
              <w:jc w:val="right"/>
            </w:pPr>
            <w:r>
              <w:t>(460.0)</w:t>
            </w:r>
          </w:p>
        </w:tc>
        <w:tc>
          <w:tcPr>
            <w:tcW w:w="1088" w:type="dxa"/>
            <w:tcBorders>
              <w:bottom w:val="single" w:sz="4" w:space="0" w:color="93B7BB"/>
            </w:tcBorders>
            <w:vAlign w:val="bottom"/>
          </w:tcPr>
          <w:p w14:paraId="594BDB89" w14:textId="481BC401" w:rsidR="009E3DBD" w:rsidRPr="00716EDB" w:rsidRDefault="009E3DBD" w:rsidP="005A27EF">
            <w:pPr>
              <w:pStyle w:val="Tabletext"/>
              <w:keepNext/>
              <w:keepLines/>
              <w:jc w:val="right"/>
            </w:pPr>
            <w:r w:rsidRPr="00716EDB">
              <w:t>(</w:t>
            </w:r>
            <w:r w:rsidR="00A74C32" w:rsidRPr="00716EDB">
              <w:t>436.6</w:t>
            </w:r>
            <w:r w:rsidRPr="00716EDB">
              <w:t>)</w:t>
            </w:r>
          </w:p>
        </w:tc>
      </w:tr>
      <w:tr w:rsidR="009A30C6" w:rsidRPr="00716EDB" w14:paraId="7A210D36" w14:textId="77777777" w:rsidTr="00A74C32">
        <w:tc>
          <w:tcPr>
            <w:tcW w:w="5809" w:type="dxa"/>
            <w:tcBorders>
              <w:top w:val="single" w:sz="4" w:space="0" w:color="93B7BB"/>
            </w:tcBorders>
            <w:vAlign w:val="bottom"/>
          </w:tcPr>
          <w:p w14:paraId="70E4D46E" w14:textId="77777777" w:rsidR="009E3DBD" w:rsidRPr="0015087B" w:rsidRDefault="009E3DBD" w:rsidP="00B626AD">
            <w:pPr>
              <w:pStyle w:val="Tabletext"/>
              <w:keepNext/>
              <w:keepLines/>
              <w:rPr>
                <w:b/>
                <w:bCs/>
                <w:iCs/>
              </w:rPr>
            </w:pPr>
            <w:r w:rsidRPr="0015087B">
              <w:rPr>
                <w:b/>
                <w:bCs/>
                <w:iCs/>
              </w:rPr>
              <w:t>Gross profit</w:t>
            </w:r>
          </w:p>
        </w:tc>
        <w:tc>
          <w:tcPr>
            <w:tcW w:w="1087" w:type="dxa"/>
            <w:tcBorders>
              <w:top w:val="single" w:sz="4" w:space="0" w:color="93B7BB"/>
            </w:tcBorders>
            <w:vAlign w:val="bottom"/>
          </w:tcPr>
          <w:p w14:paraId="15B67A8C" w14:textId="77777777" w:rsidR="009E3DBD" w:rsidRPr="00716EDB" w:rsidRDefault="009E3DBD" w:rsidP="005A27EF">
            <w:pPr>
              <w:pStyle w:val="Tabletext"/>
              <w:keepNext/>
              <w:keepLines/>
              <w:jc w:val="right"/>
            </w:pPr>
          </w:p>
        </w:tc>
        <w:tc>
          <w:tcPr>
            <w:tcW w:w="1088" w:type="dxa"/>
            <w:tcBorders>
              <w:top w:val="single" w:sz="4" w:space="0" w:color="93B7BB"/>
            </w:tcBorders>
            <w:shd w:val="clear" w:color="auto" w:fill="EFF4F5"/>
            <w:vAlign w:val="bottom"/>
          </w:tcPr>
          <w:p w14:paraId="148806A2" w14:textId="0B47A093" w:rsidR="009E3DBD" w:rsidRPr="0015087B" w:rsidRDefault="00EA4C51" w:rsidP="005A27EF">
            <w:pPr>
              <w:pStyle w:val="Tabletext"/>
              <w:keepNext/>
              <w:keepLines/>
              <w:jc w:val="right"/>
              <w:rPr>
                <w:b/>
              </w:rPr>
            </w:pPr>
            <w:r>
              <w:rPr>
                <w:b/>
              </w:rPr>
              <w:t>424.8</w:t>
            </w:r>
          </w:p>
        </w:tc>
        <w:tc>
          <w:tcPr>
            <w:tcW w:w="1088" w:type="dxa"/>
            <w:tcBorders>
              <w:top w:val="single" w:sz="4" w:space="0" w:color="93B7BB"/>
            </w:tcBorders>
            <w:vAlign w:val="bottom"/>
          </w:tcPr>
          <w:p w14:paraId="41732A0D" w14:textId="24D91F54" w:rsidR="009E3DBD" w:rsidRPr="0015087B" w:rsidRDefault="00A74C32" w:rsidP="005A27EF">
            <w:pPr>
              <w:pStyle w:val="Tabletext"/>
              <w:keepNext/>
              <w:keepLines/>
              <w:jc w:val="right"/>
              <w:rPr>
                <w:b/>
              </w:rPr>
            </w:pPr>
            <w:r w:rsidRPr="0015087B">
              <w:rPr>
                <w:b/>
              </w:rPr>
              <w:t>419.4</w:t>
            </w:r>
          </w:p>
        </w:tc>
      </w:tr>
      <w:tr w:rsidR="009A30C6" w:rsidRPr="00716EDB" w14:paraId="13577C01" w14:textId="77777777" w:rsidTr="00A74C32">
        <w:tc>
          <w:tcPr>
            <w:tcW w:w="5809" w:type="dxa"/>
            <w:tcBorders>
              <w:bottom w:val="single" w:sz="4" w:space="0" w:color="93B7BB"/>
            </w:tcBorders>
            <w:vAlign w:val="bottom"/>
          </w:tcPr>
          <w:p w14:paraId="6104BE4F" w14:textId="77777777" w:rsidR="009E3DBD" w:rsidRPr="00716EDB" w:rsidRDefault="009E3DBD" w:rsidP="00B626AD">
            <w:pPr>
              <w:pStyle w:val="Tabletext"/>
              <w:keepNext/>
              <w:keepLines/>
            </w:pPr>
            <w:r w:rsidRPr="00716EDB">
              <w:t>Other operating costs</w:t>
            </w:r>
          </w:p>
        </w:tc>
        <w:tc>
          <w:tcPr>
            <w:tcW w:w="1087" w:type="dxa"/>
            <w:tcBorders>
              <w:bottom w:val="single" w:sz="4" w:space="0" w:color="93B7BB"/>
            </w:tcBorders>
            <w:vAlign w:val="bottom"/>
          </w:tcPr>
          <w:p w14:paraId="0E05D9E8" w14:textId="77777777" w:rsidR="009E3DBD" w:rsidRPr="00716EDB" w:rsidRDefault="009E3DBD" w:rsidP="005A27EF">
            <w:pPr>
              <w:pStyle w:val="Tabletext"/>
              <w:keepNext/>
              <w:keepLines/>
              <w:jc w:val="right"/>
            </w:pPr>
          </w:p>
        </w:tc>
        <w:tc>
          <w:tcPr>
            <w:tcW w:w="1088" w:type="dxa"/>
            <w:tcBorders>
              <w:bottom w:val="single" w:sz="4" w:space="0" w:color="93B7BB"/>
            </w:tcBorders>
            <w:shd w:val="clear" w:color="auto" w:fill="EFF4F5"/>
            <w:vAlign w:val="bottom"/>
          </w:tcPr>
          <w:p w14:paraId="118560C4" w14:textId="3AF2B957" w:rsidR="009E3DBD" w:rsidRPr="00716EDB" w:rsidRDefault="00EA4C51" w:rsidP="005A27EF">
            <w:pPr>
              <w:pStyle w:val="Tabletext"/>
              <w:keepNext/>
              <w:keepLines/>
              <w:jc w:val="right"/>
            </w:pPr>
            <w:r>
              <w:t>(329.3)</w:t>
            </w:r>
          </w:p>
        </w:tc>
        <w:tc>
          <w:tcPr>
            <w:tcW w:w="1088" w:type="dxa"/>
            <w:tcBorders>
              <w:bottom w:val="single" w:sz="4" w:space="0" w:color="93B7BB"/>
            </w:tcBorders>
            <w:vAlign w:val="bottom"/>
          </w:tcPr>
          <w:p w14:paraId="44DDFD9E" w14:textId="7172CDD0" w:rsidR="009E3DBD" w:rsidRPr="00716EDB" w:rsidRDefault="009E3DBD" w:rsidP="005A27EF">
            <w:pPr>
              <w:pStyle w:val="Tabletext"/>
              <w:keepNext/>
              <w:keepLines/>
              <w:jc w:val="right"/>
            </w:pPr>
            <w:r w:rsidRPr="00716EDB">
              <w:t>(</w:t>
            </w:r>
            <w:r w:rsidR="00A74C32" w:rsidRPr="00716EDB">
              <w:t>359.3</w:t>
            </w:r>
            <w:r w:rsidRPr="00716EDB">
              <w:t>)</w:t>
            </w:r>
          </w:p>
        </w:tc>
      </w:tr>
      <w:tr w:rsidR="009A30C6" w:rsidRPr="00716EDB" w14:paraId="28E8B1CA" w14:textId="77777777" w:rsidTr="00A74C32">
        <w:tc>
          <w:tcPr>
            <w:tcW w:w="5809" w:type="dxa"/>
            <w:tcBorders>
              <w:top w:val="single" w:sz="4" w:space="0" w:color="93B7BB"/>
              <w:bottom w:val="single" w:sz="4" w:space="0" w:color="93B7BB"/>
            </w:tcBorders>
            <w:vAlign w:val="center"/>
          </w:tcPr>
          <w:p w14:paraId="1E3CF188" w14:textId="77777777" w:rsidR="009E3DBD" w:rsidRPr="0015087B" w:rsidRDefault="009E3DBD" w:rsidP="00B626AD">
            <w:pPr>
              <w:pStyle w:val="Tabletext"/>
              <w:keepNext/>
              <w:keepLines/>
              <w:rPr>
                <w:b/>
              </w:rPr>
            </w:pPr>
            <w:r w:rsidRPr="0015087B">
              <w:rPr>
                <w:b/>
              </w:rPr>
              <w:t>Operating profit</w:t>
            </w:r>
          </w:p>
        </w:tc>
        <w:tc>
          <w:tcPr>
            <w:tcW w:w="1087" w:type="dxa"/>
            <w:tcBorders>
              <w:top w:val="single" w:sz="4" w:space="0" w:color="93B7BB"/>
              <w:bottom w:val="single" w:sz="4" w:space="0" w:color="93B7BB"/>
            </w:tcBorders>
            <w:vAlign w:val="bottom"/>
          </w:tcPr>
          <w:p w14:paraId="230AA69B" w14:textId="77777777" w:rsidR="009E3DBD" w:rsidRPr="00716EDB" w:rsidRDefault="009E3DBD" w:rsidP="005A27EF">
            <w:pPr>
              <w:pStyle w:val="Tabletext"/>
              <w:keepNext/>
              <w:keepLines/>
              <w:jc w:val="right"/>
            </w:pPr>
            <w:r w:rsidRPr="00716EDB">
              <w:t>5</w:t>
            </w:r>
          </w:p>
        </w:tc>
        <w:tc>
          <w:tcPr>
            <w:tcW w:w="1088" w:type="dxa"/>
            <w:tcBorders>
              <w:top w:val="single" w:sz="4" w:space="0" w:color="93B7BB"/>
              <w:bottom w:val="single" w:sz="4" w:space="0" w:color="93B7BB"/>
            </w:tcBorders>
            <w:shd w:val="clear" w:color="auto" w:fill="EFF4F5"/>
            <w:vAlign w:val="bottom"/>
          </w:tcPr>
          <w:p w14:paraId="6AA644A0" w14:textId="0CBD22CA" w:rsidR="009E3DBD" w:rsidRPr="00716EDB" w:rsidRDefault="00EA4C51" w:rsidP="005A27EF">
            <w:pPr>
              <w:pStyle w:val="Tabletext"/>
              <w:keepNext/>
              <w:keepLines/>
              <w:jc w:val="right"/>
              <w:rPr>
                <w:b/>
                <w:bCs/>
              </w:rPr>
            </w:pPr>
            <w:r>
              <w:rPr>
                <w:b/>
                <w:bCs/>
              </w:rPr>
              <w:t>95.5</w:t>
            </w:r>
          </w:p>
        </w:tc>
        <w:tc>
          <w:tcPr>
            <w:tcW w:w="1088" w:type="dxa"/>
            <w:tcBorders>
              <w:top w:val="single" w:sz="4" w:space="0" w:color="93B7BB"/>
              <w:bottom w:val="single" w:sz="4" w:space="0" w:color="93B7BB"/>
            </w:tcBorders>
            <w:vAlign w:val="bottom"/>
          </w:tcPr>
          <w:p w14:paraId="07A3906F" w14:textId="37DE5186" w:rsidR="009E3DBD" w:rsidRPr="00716EDB" w:rsidRDefault="00A74C32" w:rsidP="005A27EF">
            <w:pPr>
              <w:pStyle w:val="Tabletext"/>
              <w:keepNext/>
              <w:keepLines/>
              <w:jc w:val="right"/>
              <w:rPr>
                <w:b/>
                <w:bCs/>
              </w:rPr>
            </w:pPr>
            <w:r w:rsidRPr="00716EDB">
              <w:rPr>
                <w:b/>
                <w:bCs/>
              </w:rPr>
              <w:t>60.1</w:t>
            </w:r>
          </w:p>
        </w:tc>
      </w:tr>
      <w:tr w:rsidR="009A30C6" w:rsidRPr="00716EDB" w14:paraId="1832491F" w14:textId="77777777" w:rsidTr="00A74C32">
        <w:tc>
          <w:tcPr>
            <w:tcW w:w="5809" w:type="dxa"/>
            <w:tcBorders>
              <w:top w:val="single" w:sz="4" w:space="0" w:color="93B7BB"/>
              <w:bottom w:val="single" w:sz="4" w:space="0" w:color="93B7BB"/>
            </w:tcBorders>
            <w:vAlign w:val="bottom"/>
          </w:tcPr>
          <w:p w14:paraId="01F96675" w14:textId="77777777" w:rsidR="009E3DBD" w:rsidRPr="00716EDB" w:rsidRDefault="009E3DBD" w:rsidP="0015087B">
            <w:pPr>
              <w:pStyle w:val="Tabletext"/>
            </w:pPr>
          </w:p>
        </w:tc>
        <w:tc>
          <w:tcPr>
            <w:tcW w:w="1087" w:type="dxa"/>
            <w:tcBorders>
              <w:top w:val="single" w:sz="4" w:space="0" w:color="93B7BB"/>
              <w:bottom w:val="single" w:sz="4" w:space="0" w:color="93B7BB"/>
            </w:tcBorders>
            <w:vAlign w:val="bottom"/>
          </w:tcPr>
          <w:p w14:paraId="57DC4256" w14:textId="77777777" w:rsidR="009E3DBD" w:rsidRPr="00716EDB" w:rsidRDefault="009E3DBD" w:rsidP="005A27EF">
            <w:pPr>
              <w:pStyle w:val="Tabletext"/>
              <w:jc w:val="right"/>
            </w:pPr>
          </w:p>
        </w:tc>
        <w:tc>
          <w:tcPr>
            <w:tcW w:w="1088" w:type="dxa"/>
            <w:tcBorders>
              <w:top w:val="single" w:sz="4" w:space="0" w:color="93B7BB"/>
              <w:bottom w:val="single" w:sz="4" w:space="0" w:color="93B7BB"/>
            </w:tcBorders>
            <w:shd w:val="clear" w:color="auto" w:fill="EFF4F5"/>
            <w:vAlign w:val="bottom"/>
          </w:tcPr>
          <w:p w14:paraId="37E9C10D" w14:textId="77777777" w:rsidR="009E3DBD" w:rsidRPr="00716EDB" w:rsidRDefault="009E3DBD" w:rsidP="005A27EF">
            <w:pPr>
              <w:pStyle w:val="Tabletext"/>
              <w:jc w:val="right"/>
            </w:pPr>
          </w:p>
        </w:tc>
        <w:tc>
          <w:tcPr>
            <w:tcW w:w="1088" w:type="dxa"/>
            <w:tcBorders>
              <w:top w:val="single" w:sz="4" w:space="0" w:color="93B7BB"/>
              <w:bottom w:val="single" w:sz="4" w:space="0" w:color="93B7BB"/>
            </w:tcBorders>
            <w:vAlign w:val="bottom"/>
          </w:tcPr>
          <w:p w14:paraId="1D9FD81B" w14:textId="77777777" w:rsidR="009E3DBD" w:rsidRPr="00716EDB" w:rsidRDefault="009E3DBD" w:rsidP="005A27EF">
            <w:pPr>
              <w:pStyle w:val="Tabletext"/>
              <w:jc w:val="right"/>
            </w:pPr>
          </w:p>
        </w:tc>
      </w:tr>
      <w:tr w:rsidR="009A30C6" w:rsidRPr="00716EDB" w14:paraId="1022F353" w14:textId="77777777" w:rsidTr="00A74C32">
        <w:tc>
          <w:tcPr>
            <w:tcW w:w="5809" w:type="dxa"/>
            <w:tcBorders>
              <w:top w:val="single" w:sz="4" w:space="0" w:color="93B7BB"/>
              <w:left w:val="single" w:sz="4" w:space="0" w:color="93B7BB"/>
            </w:tcBorders>
          </w:tcPr>
          <w:p w14:paraId="5C2BDE69" w14:textId="77777777" w:rsidR="009E3DBD" w:rsidRPr="00716EDB" w:rsidRDefault="009E3DBD" w:rsidP="0015087B">
            <w:pPr>
              <w:pStyle w:val="Tabletext"/>
            </w:pPr>
            <w:r w:rsidRPr="00716EDB">
              <w:t>Exceptional items included within other operating costs</w:t>
            </w:r>
          </w:p>
        </w:tc>
        <w:tc>
          <w:tcPr>
            <w:tcW w:w="1087" w:type="dxa"/>
            <w:tcBorders>
              <w:top w:val="single" w:sz="4" w:space="0" w:color="93B7BB"/>
            </w:tcBorders>
            <w:vAlign w:val="bottom"/>
          </w:tcPr>
          <w:p w14:paraId="1A004C2C" w14:textId="77777777" w:rsidR="009E3DBD" w:rsidRPr="00716EDB" w:rsidRDefault="009E3DBD" w:rsidP="005A27EF">
            <w:pPr>
              <w:pStyle w:val="Tabletext"/>
              <w:jc w:val="right"/>
            </w:pPr>
            <w:r w:rsidRPr="00716EDB">
              <w:t>7</w:t>
            </w:r>
          </w:p>
        </w:tc>
        <w:tc>
          <w:tcPr>
            <w:tcW w:w="1088" w:type="dxa"/>
            <w:tcBorders>
              <w:top w:val="single" w:sz="4" w:space="0" w:color="93B7BB"/>
            </w:tcBorders>
            <w:shd w:val="clear" w:color="auto" w:fill="EFF4F5"/>
            <w:vAlign w:val="bottom"/>
          </w:tcPr>
          <w:p w14:paraId="1876E849" w14:textId="4EEC4D3D" w:rsidR="009E3DBD" w:rsidRPr="00716EDB" w:rsidRDefault="00EA4C51" w:rsidP="005A27EF">
            <w:pPr>
              <w:pStyle w:val="Tabletext"/>
              <w:jc w:val="right"/>
            </w:pPr>
            <w:r>
              <w:t>(15.7)</w:t>
            </w:r>
          </w:p>
        </w:tc>
        <w:tc>
          <w:tcPr>
            <w:tcW w:w="1088" w:type="dxa"/>
            <w:tcBorders>
              <w:top w:val="single" w:sz="4" w:space="0" w:color="93B7BB"/>
              <w:right w:val="single" w:sz="4" w:space="0" w:color="93B7BB"/>
            </w:tcBorders>
            <w:vAlign w:val="bottom"/>
          </w:tcPr>
          <w:p w14:paraId="24BA0A1E" w14:textId="374FAC28" w:rsidR="009E3DBD" w:rsidRPr="00716EDB" w:rsidRDefault="009E3DBD" w:rsidP="005A27EF">
            <w:pPr>
              <w:pStyle w:val="Tabletext"/>
              <w:jc w:val="right"/>
            </w:pPr>
            <w:r w:rsidRPr="00716EDB">
              <w:t>(</w:t>
            </w:r>
            <w:r w:rsidR="00A74C32" w:rsidRPr="00716EDB">
              <w:t>54.0</w:t>
            </w:r>
            <w:r w:rsidRPr="00716EDB">
              <w:t>)</w:t>
            </w:r>
          </w:p>
        </w:tc>
      </w:tr>
      <w:tr w:rsidR="009A30C6" w:rsidRPr="00716EDB" w14:paraId="67CDE21C" w14:textId="77777777" w:rsidTr="00A74C32">
        <w:tc>
          <w:tcPr>
            <w:tcW w:w="5809" w:type="dxa"/>
            <w:tcBorders>
              <w:left w:val="single" w:sz="4" w:space="0" w:color="93B7BB"/>
              <w:bottom w:val="single" w:sz="4" w:space="0" w:color="93B7BB"/>
            </w:tcBorders>
          </w:tcPr>
          <w:p w14:paraId="27DD6323" w14:textId="77777777" w:rsidR="009E3DBD" w:rsidRPr="00716EDB" w:rsidRDefault="009E3DBD" w:rsidP="0015087B">
            <w:pPr>
              <w:pStyle w:val="Tabletext"/>
            </w:pPr>
            <w:r w:rsidRPr="00716EDB">
              <w:t>Operating profit before exceptional items</w:t>
            </w:r>
          </w:p>
        </w:tc>
        <w:tc>
          <w:tcPr>
            <w:tcW w:w="1087" w:type="dxa"/>
            <w:tcBorders>
              <w:bottom w:val="single" w:sz="4" w:space="0" w:color="93B7BB"/>
            </w:tcBorders>
            <w:vAlign w:val="bottom"/>
          </w:tcPr>
          <w:p w14:paraId="73310117" w14:textId="77777777" w:rsidR="009E3DBD" w:rsidRPr="00716EDB" w:rsidRDefault="009E3DBD" w:rsidP="005A27EF">
            <w:pPr>
              <w:pStyle w:val="Tabletext"/>
              <w:jc w:val="right"/>
            </w:pPr>
          </w:p>
        </w:tc>
        <w:tc>
          <w:tcPr>
            <w:tcW w:w="1088" w:type="dxa"/>
            <w:tcBorders>
              <w:bottom w:val="single" w:sz="4" w:space="0" w:color="93B7BB"/>
            </w:tcBorders>
            <w:shd w:val="clear" w:color="auto" w:fill="EFF4F5"/>
            <w:vAlign w:val="bottom"/>
          </w:tcPr>
          <w:p w14:paraId="3A03C538" w14:textId="5A5BFD4B" w:rsidR="009E3DBD" w:rsidRPr="00716EDB" w:rsidRDefault="00EA4C51" w:rsidP="005A27EF">
            <w:pPr>
              <w:pStyle w:val="Tabletext"/>
              <w:jc w:val="right"/>
            </w:pPr>
            <w:r>
              <w:t>111.2</w:t>
            </w:r>
          </w:p>
        </w:tc>
        <w:tc>
          <w:tcPr>
            <w:tcW w:w="1088" w:type="dxa"/>
            <w:tcBorders>
              <w:bottom w:val="single" w:sz="4" w:space="0" w:color="93B7BB"/>
              <w:right w:val="single" w:sz="4" w:space="0" w:color="93B7BB"/>
            </w:tcBorders>
            <w:vAlign w:val="bottom"/>
          </w:tcPr>
          <w:p w14:paraId="3DB1C48B" w14:textId="4EAD87C8" w:rsidR="009E3DBD" w:rsidRPr="00716EDB" w:rsidRDefault="009E3DBD" w:rsidP="00A74C32">
            <w:pPr>
              <w:pStyle w:val="Tabletext"/>
              <w:jc w:val="right"/>
            </w:pPr>
            <w:r w:rsidRPr="00716EDB">
              <w:t>11</w:t>
            </w:r>
            <w:r w:rsidR="00A74C32">
              <w:t>4</w:t>
            </w:r>
            <w:r w:rsidRPr="00716EDB">
              <w:t>.1</w:t>
            </w:r>
          </w:p>
        </w:tc>
      </w:tr>
      <w:tr w:rsidR="009A30C6" w:rsidRPr="00716EDB" w14:paraId="7C6EDDE6" w14:textId="77777777" w:rsidTr="00A74C32">
        <w:tc>
          <w:tcPr>
            <w:tcW w:w="5809" w:type="dxa"/>
            <w:tcBorders>
              <w:top w:val="single" w:sz="4" w:space="0" w:color="93B7BB"/>
            </w:tcBorders>
            <w:vAlign w:val="bottom"/>
          </w:tcPr>
          <w:p w14:paraId="60682F4D" w14:textId="77777777" w:rsidR="009E3DBD" w:rsidRPr="00716EDB" w:rsidRDefault="009E3DBD" w:rsidP="0015087B">
            <w:pPr>
              <w:pStyle w:val="Tabletext"/>
            </w:pPr>
          </w:p>
        </w:tc>
        <w:tc>
          <w:tcPr>
            <w:tcW w:w="1087" w:type="dxa"/>
            <w:tcBorders>
              <w:top w:val="single" w:sz="4" w:space="0" w:color="93B7BB"/>
            </w:tcBorders>
            <w:vAlign w:val="bottom"/>
          </w:tcPr>
          <w:p w14:paraId="17EB82BA" w14:textId="77777777" w:rsidR="009E3DBD" w:rsidRPr="00716EDB" w:rsidRDefault="009E3DBD" w:rsidP="005A27EF">
            <w:pPr>
              <w:pStyle w:val="Tabletext"/>
              <w:jc w:val="right"/>
            </w:pPr>
          </w:p>
        </w:tc>
        <w:tc>
          <w:tcPr>
            <w:tcW w:w="1088" w:type="dxa"/>
            <w:tcBorders>
              <w:top w:val="single" w:sz="4" w:space="0" w:color="93B7BB"/>
            </w:tcBorders>
            <w:shd w:val="clear" w:color="auto" w:fill="EFF4F5"/>
            <w:vAlign w:val="bottom"/>
          </w:tcPr>
          <w:p w14:paraId="4102E6AC" w14:textId="77777777" w:rsidR="009E3DBD" w:rsidRPr="00716EDB" w:rsidRDefault="009E3DBD" w:rsidP="005A27EF">
            <w:pPr>
              <w:pStyle w:val="Tabletext"/>
              <w:jc w:val="right"/>
            </w:pPr>
          </w:p>
        </w:tc>
        <w:tc>
          <w:tcPr>
            <w:tcW w:w="1088" w:type="dxa"/>
            <w:tcBorders>
              <w:top w:val="single" w:sz="4" w:space="0" w:color="93B7BB"/>
            </w:tcBorders>
            <w:vAlign w:val="bottom"/>
          </w:tcPr>
          <w:p w14:paraId="27582ACE" w14:textId="77777777" w:rsidR="009E3DBD" w:rsidRPr="00716EDB" w:rsidRDefault="009E3DBD" w:rsidP="005A27EF">
            <w:pPr>
              <w:pStyle w:val="Tabletext"/>
              <w:jc w:val="right"/>
            </w:pPr>
          </w:p>
        </w:tc>
      </w:tr>
      <w:tr w:rsidR="009E3DBD" w:rsidRPr="00716EDB" w14:paraId="4C01173D" w14:textId="77777777" w:rsidTr="00A74C32">
        <w:tc>
          <w:tcPr>
            <w:tcW w:w="5809" w:type="dxa"/>
            <w:vAlign w:val="bottom"/>
          </w:tcPr>
          <w:p w14:paraId="4443C22E" w14:textId="6D4D345E" w:rsidR="009E3DBD" w:rsidRPr="00716EDB" w:rsidRDefault="00EA4C51" w:rsidP="00EA4C51">
            <w:pPr>
              <w:pStyle w:val="Tabletext"/>
            </w:pPr>
            <w:r>
              <w:t>(Loss) / p</w:t>
            </w:r>
            <w:r w:rsidR="009E3DBD" w:rsidRPr="00716EDB">
              <w:t>rofit on disposal of property, plant and equipment</w:t>
            </w:r>
          </w:p>
        </w:tc>
        <w:tc>
          <w:tcPr>
            <w:tcW w:w="1087" w:type="dxa"/>
            <w:vAlign w:val="bottom"/>
          </w:tcPr>
          <w:p w14:paraId="767D41D7" w14:textId="77777777" w:rsidR="009E3DBD" w:rsidRPr="00716EDB" w:rsidRDefault="009E3DBD" w:rsidP="005A27EF">
            <w:pPr>
              <w:pStyle w:val="Tabletext"/>
              <w:jc w:val="right"/>
            </w:pPr>
            <w:r w:rsidRPr="00716EDB">
              <w:t>8</w:t>
            </w:r>
          </w:p>
        </w:tc>
        <w:tc>
          <w:tcPr>
            <w:tcW w:w="1088" w:type="dxa"/>
            <w:shd w:val="clear" w:color="auto" w:fill="EFF4F5"/>
            <w:vAlign w:val="bottom"/>
          </w:tcPr>
          <w:p w14:paraId="3E53BADC" w14:textId="257F3AB1" w:rsidR="009E3DBD" w:rsidRPr="00716EDB" w:rsidRDefault="00EA4C51" w:rsidP="005A27EF">
            <w:pPr>
              <w:pStyle w:val="Tabletext"/>
              <w:jc w:val="right"/>
            </w:pPr>
            <w:r>
              <w:t>(0.8)</w:t>
            </w:r>
          </w:p>
        </w:tc>
        <w:tc>
          <w:tcPr>
            <w:tcW w:w="1088" w:type="dxa"/>
            <w:vAlign w:val="bottom"/>
          </w:tcPr>
          <w:p w14:paraId="2D34572D" w14:textId="381B0F86" w:rsidR="009E3DBD" w:rsidRPr="00716EDB" w:rsidRDefault="00A74C32" w:rsidP="00A74C32">
            <w:pPr>
              <w:pStyle w:val="Tabletext"/>
              <w:jc w:val="right"/>
            </w:pPr>
            <w:r>
              <w:t>18</w:t>
            </w:r>
            <w:r w:rsidR="009E3DBD" w:rsidRPr="00716EDB">
              <w:t>.</w:t>
            </w:r>
            <w:r>
              <w:t>5</w:t>
            </w:r>
          </w:p>
        </w:tc>
      </w:tr>
      <w:tr w:rsidR="009E3DBD" w:rsidRPr="00716EDB" w14:paraId="19B01C58" w14:textId="77777777" w:rsidTr="00A868F4">
        <w:tc>
          <w:tcPr>
            <w:tcW w:w="5809" w:type="dxa"/>
            <w:vAlign w:val="bottom"/>
          </w:tcPr>
          <w:p w14:paraId="60E55A59" w14:textId="77777777" w:rsidR="009E3DBD" w:rsidRPr="00716EDB" w:rsidRDefault="009E3DBD" w:rsidP="0015087B">
            <w:pPr>
              <w:pStyle w:val="Tabletext"/>
            </w:pPr>
            <w:r w:rsidRPr="00716EDB">
              <w:t>Interest income</w:t>
            </w:r>
          </w:p>
        </w:tc>
        <w:tc>
          <w:tcPr>
            <w:tcW w:w="1087" w:type="dxa"/>
            <w:vAlign w:val="bottom"/>
          </w:tcPr>
          <w:p w14:paraId="59C7E458" w14:textId="77777777" w:rsidR="009E3DBD" w:rsidRPr="00716EDB" w:rsidRDefault="009E3DBD" w:rsidP="005A27EF">
            <w:pPr>
              <w:pStyle w:val="Tabletext"/>
              <w:jc w:val="right"/>
            </w:pPr>
          </w:p>
        </w:tc>
        <w:tc>
          <w:tcPr>
            <w:tcW w:w="1088" w:type="dxa"/>
            <w:shd w:val="clear" w:color="auto" w:fill="EFF4F5"/>
            <w:vAlign w:val="bottom"/>
          </w:tcPr>
          <w:p w14:paraId="648FDFE7" w14:textId="45DEEDB0" w:rsidR="009E3DBD" w:rsidRPr="00716EDB" w:rsidRDefault="00EA4C51" w:rsidP="005A27EF">
            <w:pPr>
              <w:pStyle w:val="Tabletext"/>
              <w:jc w:val="right"/>
            </w:pPr>
            <w:r>
              <w:t>0.3</w:t>
            </w:r>
          </w:p>
        </w:tc>
        <w:tc>
          <w:tcPr>
            <w:tcW w:w="1088" w:type="dxa"/>
            <w:vAlign w:val="bottom"/>
          </w:tcPr>
          <w:p w14:paraId="7E8D9C3F" w14:textId="12555623" w:rsidR="009E3DBD" w:rsidRPr="00716EDB" w:rsidRDefault="009E3DBD" w:rsidP="00A74C32">
            <w:pPr>
              <w:pStyle w:val="Tabletext"/>
              <w:jc w:val="right"/>
            </w:pPr>
            <w:r w:rsidRPr="00716EDB">
              <w:t>0.</w:t>
            </w:r>
            <w:r w:rsidR="00A74C32">
              <w:t>3</w:t>
            </w:r>
          </w:p>
        </w:tc>
      </w:tr>
      <w:tr w:rsidR="009A30C6" w:rsidRPr="00716EDB" w14:paraId="48D2C8C4" w14:textId="77777777" w:rsidTr="00A868F4">
        <w:tc>
          <w:tcPr>
            <w:tcW w:w="5809" w:type="dxa"/>
            <w:tcBorders>
              <w:bottom w:val="single" w:sz="4" w:space="0" w:color="93B7BB"/>
            </w:tcBorders>
            <w:vAlign w:val="bottom"/>
          </w:tcPr>
          <w:p w14:paraId="56ECABEE" w14:textId="32724693" w:rsidR="009E3DBD" w:rsidRPr="00716EDB" w:rsidRDefault="002E1FFF" w:rsidP="0015087B">
            <w:pPr>
              <w:pStyle w:val="Tabletext"/>
            </w:pPr>
            <w:r>
              <w:t>F</w:t>
            </w:r>
            <w:r w:rsidR="009E3DBD" w:rsidRPr="00716EDB">
              <w:t>inance costs</w:t>
            </w:r>
          </w:p>
        </w:tc>
        <w:tc>
          <w:tcPr>
            <w:tcW w:w="1087" w:type="dxa"/>
            <w:tcBorders>
              <w:bottom w:val="single" w:sz="4" w:space="0" w:color="93B7BB"/>
            </w:tcBorders>
            <w:vAlign w:val="bottom"/>
          </w:tcPr>
          <w:p w14:paraId="508CA506" w14:textId="57B81235" w:rsidR="009E3DBD" w:rsidRPr="00716EDB" w:rsidRDefault="00A868F4" w:rsidP="005A27EF">
            <w:pPr>
              <w:pStyle w:val="Tabletext"/>
              <w:jc w:val="right"/>
            </w:pPr>
            <w:r>
              <w:t>9</w:t>
            </w:r>
          </w:p>
        </w:tc>
        <w:tc>
          <w:tcPr>
            <w:tcW w:w="1088" w:type="dxa"/>
            <w:tcBorders>
              <w:bottom w:val="single" w:sz="4" w:space="0" w:color="93B7BB"/>
            </w:tcBorders>
            <w:shd w:val="clear" w:color="auto" w:fill="EFF4F5"/>
            <w:vAlign w:val="bottom"/>
          </w:tcPr>
          <w:p w14:paraId="3EA3AFAC" w14:textId="0F6B67C3" w:rsidR="009E3DBD" w:rsidRPr="00716EDB" w:rsidRDefault="00EA4C51" w:rsidP="005A27EF">
            <w:pPr>
              <w:pStyle w:val="Tabletext"/>
              <w:jc w:val="right"/>
            </w:pPr>
            <w:r>
              <w:t>(21.4)</w:t>
            </w:r>
          </w:p>
        </w:tc>
        <w:tc>
          <w:tcPr>
            <w:tcW w:w="1088" w:type="dxa"/>
            <w:tcBorders>
              <w:bottom w:val="single" w:sz="4" w:space="0" w:color="93B7BB"/>
            </w:tcBorders>
            <w:vAlign w:val="bottom"/>
          </w:tcPr>
          <w:p w14:paraId="289720D1" w14:textId="63BEDC0F" w:rsidR="009E3DBD" w:rsidRPr="00716EDB" w:rsidRDefault="009E3DBD" w:rsidP="00A74C32">
            <w:pPr>
              <w:pStyle w:val="Tabletext"/>
              <w:jc w:val="right"/>
            </w:pPr>
            <w:r w:rsidRPr="00716EDB">
              <w:t>(</w:t>
            </w:r>
            <w:r w:rsidR="00A74C32">
              <w:t>85</w:t>
            </w:r>
            <w:r w:rsidRPr="00716EDB">
              <w:t>.</w:t>
            </w:r>
            <w:r w:rsidR="00A74C32">
              <w:t>9</w:t>
            </w:r>
            <w:r w:rsidRPr="00716EDB">
              <w:t>)</w:t>
            </w:r>
          </w:p>
        </w:tc>
      </w:tr>
      <w:tr w:rsidR="00A74C32" w:rsidRPr="00716EDB" w14:paraId="4AE0E1DA" w14:textId="77777777" w:rsidTr="00A74C32">
        <w:tc>
          <w:tcPr>
            <w:tcW w:w="5809" w:type="dxa"/>
            <w:vAlign w:val="bottom"/>
          </w:tcPr>
          <w:p w14:paraId="5F8E2835" w14:textId="118F55E1" w:rsidR="00A74C32" w:rsidRPr="0015087B" w:rsidRDefault="00EA4C51" w:rsidP="00EA4C51">
            <w:pPr>
              <w:pStyle w:val="Tabletext"/>
              <w:rPr>
                <w:b/>
              </w:rPr>
            </w:pPr>
            <w:r>
              <w:rPr>
                <w:b/>
              </w:rPr>
              <w:t>Profit / (l</w:t>
            </w:r>
            <w:r w:rsidR="00A74C32" w:rsidRPr="0015087B">
              <w:rPr>
                <w:b/>
              </w:rPr>
              <w:t>oss</w:t>
            </w:r>
            <w:r>
              <w:rPr>
                <w:b/>
              </w:rPr>
              <w:t>)</w:t>
            </w:r>
            <w:r w:rsidR="00A74C32" w:rsidRPr="0015087B">
              <w:rPr>
                <w:b/>
              </w:rPr>
              <w:t xml:space="preserve"> before taxation</w:t>
            </w:r>
          </w:p>
        </w:tc>
        <w:tc>
          <w:tcPr>
            <w:tcW w:w="1087" w:type="dxa"/>
            <w:vAlign w:val="bottom"/>
          </w:tcPr>
          <w:p w14:paraId="6BA95B8F" w14:textId="77777777" w:rsidR="00A74C32" w:rsidRPr="00716EDB" w:rsidRDefault="00A74C32" w:rsidP="005A27EF">
            <w:pPr>
              <w:pStyle w:val="Tabletext"/>
              <w:jc w:val="right"/>
            </w:pPr>
          </w:p>
        </w:tc>
        <w:tc>
          <w:tcPr>
            <w:tcW w:w="1088" w:type="dxa"/>
            <w:shd w:val="clear" w:color="auto" w:fill="EFF4F5"/>
            <w:vAlign w:val="bottom"/>
          </w:tcPr>
          <w:p w14:paraId="5B2A62C7" w14:textId="42DE46D2" w:rsidR="00A74C32" w:rsidRPr="00716EDB" w:rsidRDefault="00EA4C51" w:rsidP="005A27EF">
            <w:pPr>
              <w:pStyle w:val="Tabletext"/>
              <w:jc w:val="right"/>
              <w:rPr>
                <w:b/>
                <w:bCs/>
              </w:rPr>
            </w:pPr>
            <w:r>
              <w:rPr>
                <w:b/>
                <w:bCs/>
              </w:rPr>
              <w:t>73.6</w:t>
            </w:r>
          </w:p>
        </w:tc>
        <w:tc>
          <w:tcPr>
            <w:tcW w:w="1088" w:type="dxa"/>
            <w:vAlign w:val="bottom"/>
          </w:tcPr>
          <w:p w14:paraId="041C4071" w14:textId="308932F4" w:rsidR="00A74C32" w:rsidRPr="00716EDB" w:rsidRDefault="00A74C32" w:rsidP="005A27EF">
            <w:pPr>
              <w:pStyle w:val="Tabletext"/>
              <w:jc w:val="right"/>
              <w:rPr>
                <w:b/>
                <w:bCs/>
              </w:rPr>
            </w:pPr>
            <w:r w:rsidRPr="00716EDB">
              <w:rPr>
                <w:b/>
                <w:bCs/>
              </w:rPr>
              <w:t>(7.0)</w:t>
            </w:r>
          </w:p>
        </w:tc>
      </w:tr>
      <w:tr w:rsidR="00A74C32" w:rsidRPr="00716EDB" w14:paraId="091555B4" w14:textId="77777777" w:rsidTr="00A74C32">
        <w:tc>
          <w:tcPr>
            <w:tcW w:w="5809" w:type="dxa"/>
            <w:tcBorders>
              <w:bottom w:val="single" w:sz="4" w:space="0" w:color="93B7BB"/>
            </w:tcBorders>
            <w:vAlign w:val="bottom"/>
          </w:tcPr>
          <w:p w14:paraId="304547E1" w14:textId="77777777" w:rsidR="00A74C32" w:rsidRPr="00716EDB" w:rsidRDefault="00A74C32" w:rsidP="0015087B">
            <w:pPr>
              <w:pStyle w:val="Tabletext"/>
            </w:pPr>
            <w:r w:rsidRPr="00716EDB">
              <w:t>Taxation</w:t>
            </w:r>
          </w:p>
        </w:tc>
        <w:tc>
          <w:tcPr>
            <w:tcW w:w="1087" w:type="dxa"/>
            <w:tcBorders>
              <w:bottom w:val="single" w:sz="4" w:space="0" w:color="93B7BB"/>
            </w:tcBorders>
            <w:vAlign w:val="bottom"/>
          </w:tcPr>
          <w:p w14:paraId="6CE35ADA" w14:textId="77777777" w:rsidR="00A74C32" w:rsidRPr="00716EDB" w:rsidRDefault="00A74C32" w:rsidP="005A27EF">
            <w:pPr>
              <w:pStyle w:val="Tabletext"/>
              <w:jc w:val="right"/>
            </w:pPr>
            <w:r w:rsidRPr="00716EDB">
              <w:t>10</w:t>
            </w:r>
          </w:p>
        </w:tc>
        <w:tc>
          <w:tcPr>
            <w:tcW w:w="1088" w:type="dxa"/>
            <w:tcBorders>
              <w:bottom w:val="single" w:sz="4" w:space="0" w:color="93B7BB"/>
            </w:tcBorders>
            <w:shd w:val="clear" w:color="auto" w:fill="EFF4F5"/>
            <w:vAlign w:val="bottom"/>
          </w:tcPr>
          <w:p w14:paraId="69214E69" w14:textId="60DE36EE" w:rsidR="00A74C32" w:rsidRPr="00716EDB" w:rsidRDefault="00EA4C51" w:rsidP="005A27EF">
            <w:pPr>
              <w:pStyle w:val="Tabletext"/>
              <w:jc w:val="right"/>
            </w:pPr>
            <w:r>
              <w:t>(13.6)</w:t>
            </w:r>
          </w:p>
        </w:tc>
        <w:tc>
          <w:tcPr>
            <w:tcW w:w="1088" w:type="dxa"/>
            <w:tcBorders>
              <w:bottom w:val="single" w:sz="4" w:space="0" w:color="93B7BB"/>
            </w:tcBorders>
            <w:vAlign w:val="bottom"/>
          </w:tcPr>
          <w:p w14:paraId="3DC9FDAB" w14:textId="03ADB8AA" w:rsidR="00A74C32" w:rsidRPr="00716EDB" w:rsidRDefault="00A74C32" w:rsidP="005A27EF">
            <w:pPr>
              <w:pStyle w:val="Tabletext"/>
              <w:jc w:val="right"/>
            </w:pPr>
            <w:r w:rsidRPr="00716EDB">
              <w:t>13.0</w:t>
            </w:r>
          </w:p>
        </w:tc>
      </w:tr>
      <w:tr w:rsidR="00A74C32" w:rsidRPr="00716EDB" w14:paraId="2554F84F" w14:textId="77777777" w:rsidTr="00A74C32">
        <w:tc>
          <w:tcPr>
            <w:tcW w:w="5809" w:type="dxa"/>
            <w:tcBorders>
              <w:top w:val="single" w:sz="4" w:space="0" w:color="93B7BB"/>
              <w:bottom w:val="single" w:sz="4" w:space="0" w:color="93B7BB"/>
            </w:tcBorders>
            <w:vAlign w:val="bottom"/>
          </w:tcPr>
          <w:p w14:paraId="12857FEF" w14:textId="77777777" w:rsidR="00A74C32" w:rsidRPr="0015087B" w:rsidRDefault="00A74C32" w:rsidP="0015087B">
            <w:pPr>
              <w:pStyle w:val="Tabletext"/>
              <w:rPr>
                <w:b/>
              </w:rPr>
            </w:pPr>
            <w:r w:rsidRPr="0015087B">
              <w:rPr>
                <w:b/>
              </w:rPr>
              <w:t>Profit for the year</w:t>
            </w:r>
          </w:p>
        </w:tc>
        <w:tc>
          <w:tcPr>
            <w:tcW w:w="1087" w:type="dxa"/>
            <w:tcBorders>
              <w:top w:val="single" w:sz="4" w:space="0" w:color="93B7BB"/>
              <w:bottom w:val="single" w:sz="4" w:space="0" w:color="93B7BB"/>
            </w:tcBorders>
            <w:vAlign w:val="bottom"/>
          </w:tcPr>
          <w:p w14:paraId="2689A760" w14:textId="77777777" w:rsidR="00A74C32" w:rsidRPr="00716EDB" w:rsidRDefault="00A74C32" w:rsidP="005A27EF">
            <w:pPr>
              <w:pStyle w:val="Tabletext"/>
              <w:jc w:val="right"/>
            </w:pPr>
          </w:p>
        </w:tc>
        <w:tc>
          <w:tcPr>
            <w:tcW w:w="1088" w:type="dxa"/>
            <w:tcBorders>
              <w:top w:val="single" w:sz="4" w:space="0" w:color="93B7BB"/>
              <w:bottom w:val="single" w:sz="4" w:space="0" w:color="93B7BB"/>
            </w:tcBorders>
            <w:shd w:val="clear" w:color="auto" w:fill="EFF4F5"/>
            <w:vAlign w:val="bottom"/>
          </w:tcPr>
          <w:p w14:paraId="09E6E685" w14:textId="47EE2213" w:rsidR="00A74C32" w:rsidRPr="00716EDB" w:rsidRDefault="00EA4C51" w:rsidP="005A27EF">
            <w:pPr>
              <w:pStyle w:val="Tabletext"/>
              <w:jc w:val="right"/>
              <w:rPr>
                <w:b/>
                <w:bCs/>
              </w:rPr>
            </w:pPr>
            <w:r>
              <w:rPr>
                <w:b/>
                <w:bCs/>
              </w:rPr>
              <w:t>60.0</w:t>
            </w:r>
          </w:p>
        </w:tc>
        <w:tc>
          <w:tcPr>
            <w:tcW w:w="1088" w:type="dxa"/>
            <w:tcBorders>
              <w:top w:val="single" w:sz="4" w:space="0" w:color="93B7BB"/>
              <w:bottom w:val="single" w:sz="4" w:space="0" w:color="93B7BB"/>
            </w:tcBorders>
            <w:vAlign w:val="bottom"/>
          </w:tcPr>
          <w:p w14:paraId="7A262B38" w14:textId="0E080A2C" w:rsidR="00A74C32" w:rsidRPr="00716EDB" w:rsidRDefault="00A74C32" w:rsidP="005A27EF">
            <w:pPr>
              <w:pStyle w:val="Tabletext"/>
              <w:jc w:val="right"/>
              <w:rPr>
                <w:b/>
                <w:bCs/>
              </w:rPr>
            </w:pPr>
            <w:r w:rsidRPr="00716EDB">
              <w:rPr>
                <w:b/>
                <w:bCs/>
              </w:rPr>
              <w:t>6.0</w:t>
            </w:r>
          </w:p>
        </w:tc>
      </w:tr>
      <w:tr w:rsidR="009A30C6" w:rsidRPr="00716EDB" w14:paraId="6B88B12A" w14:textId="77777777" w:rsidTr="00A74C32">
        <w:tc>
          <w:tcPr>
            <w:tcW w:w="5809" w:type="dxa"/>
            <w:tcBorders>
              <w:top w:val="single" w:sz="4" w:space="0" w:color="93B7BB"/>
            </w:tcBorders>
            <w:vAlign w:val="bottom"/>
          </w:tcPr>
          <w:p w14:paraId="47C6B701" w14:textId="77777777" w:rsidR="009E3DBD" w:rsidRPr="00716EDB" w:rsidRDefault="009E3DBD" w:rsidP="0015087B">
            <w:pPr>
              <w:pStyle w:val="Tabletext"/>
            </w:pPr>
          </w:p>
        </w:tc>
        <w:tc>
          <w:tcPr>
            <w:tcW w:w="1087" w:type="dxa"/>
            <w:tcBorders>
              <w:top w:val="single" w:sz="4" w:space="0" w:color="93B7BB"/>
            </w:tcBorders>
            <w:vAlign w:val="bottom"/>
          </w:tcPr>
          <w:p w14:paraId="2D678612" w14:textId="77777777" w:rsidR="009E3DBD" w:rsidRPr="00716EDB" w:rsidRDefault="009E3DBD" w:rsidP="005A27EF">
            <w:pPr>
              <w:pStyle w:val="Tabletext"/>
              <w:jc w:val="right"/>
            </w:pPr>
          </w:p>
        </w:tc>
        <w:tc>
          <w:tcPr>
            <w:tcW w:w="1088" w:type="dxa"/>
            <w:tcBorders>
              <w:top w:val="single" w:sz="4" w:space="0" w:color="93B7BB"/>
            </w:tcBorders>
            <w:shd w:val="clear" w:color="auto" w:fill="EFF4F5"/>
            <w:vAlign w:val="bottom"/>
          </w:tcPr>
          <w:p w14:paraId="778F18CF" w14:textId="77777777" w:rsidR="009E3DBD" w:rsidRPr="00716EDB" w:rsidRDefault="009E3DBD" w:rsidP="005A27EF">
            <w:pPr>
              <w:pStyle w:val="Tabletext"/>
              <w:jc w:val="right"/>
            </w:pPr>
          </w:p>
        </w:tc>
        <w:tc>
          <w:tcPr>
            <w:tcW w:w="1088" w:type="dxa"/>
            <w:tcBorders>
              <w:top w:val="single" w:sz="4" w:space="0" w:color="93B7BB"/>
            </w:tcBorders>
            <w:vAlign w:val="bottom"/>
          </w:tcPr>
          <w:p w14:paraId="47B7A6D9" w14:textId="77777777" w:rsidR="009E3DBD" w:rsidRPr="00716EDB" w:rsidRDefault="009E3DBD" w:rsidP="005A27EF">
            <w:pPr>
              <w:pStyle w:val="Tabletext"/>
              <w:jc w:val="right"/>
            </w:pPr>
          </w:p>
        </w:tc>
      </w:tr>
      <w:tr w:rsidR="00A74C32" w:rsidRPr="00716EDB" w14:paraId="3F70D8EC" w14:textId="77777777" w:rsidTr="00A74C32">
        <w:tc>
          <w:tcPr>
            <w:tcW w:w="5809" w:type="dxa"/>
            <w:tcBorders>
              <w:bottom w:val="single" w:sz="4" w:space="0" w:color="93B7BB"/>
            </w:tcBorders>
            <w:vAlign w:val="bottom"/>
          </w:tcPr>
          <w:p w14:paraId="76018C65" w14:textId="0CEE7994" w:rsidR="00A74C32" w:rsidRPr="0015087B" w:rsidRDefault="00A74C32" w:rsidP="0015087B">
            <w:pPr>
              <w:pStyle w:val="Tabletext"/>
              <w:rPr>
                <w:b/>
              </w:rPr>
            </w:pPr>
            <w:r w:rsidRPr="0015087B">
              <w:rPr>
                <w:b/>
              </w:rPr>
              <w:t xml:space="preserve">Profit for the year attributable to owners of the </w:t>
            </w:r>
            <w:r>
              <w:rPr>
                <w:b/>
              </w:rPr>
              <w:t>P</w:t>
            </w:r>
            <w:r w:rsidRPr="0015087B">
              <w:rPr>
                <w:b/>
              </w:rPr>
              <w:t>arent</w:t>
            </w:r>
          </w:p>
        </w:tc>
        <w:tc>
          <w:tcPr>
            <w:tcW w:w="1087" w:type="dxa"/>
            <w:tcBorders>
              <w:bottom w:val="single" w:sz="4" w:space="0" w:color="93B7BB"/>
            </w:tcBorders>
            <w:vAlign w:val="bottom"/>
          </w:tcPr>
          <w:p w14:paraId="3473ED83" w14:textId="77777777" w:rsidR="00A74C32" w:rsidRPr="00716EDB" w:rsidRDefault="00A74C32" w:rsidP="005A27EF">
            <w:pPr>
              <w:pStyle w:val="Tabletext"/>
              <w:jc w:val="right"/>
              <w:rPr>
                <w:b/>
                <w:bCs/>
              </w:rPr>
            </w:pPr>
          </w:p>
        </w:tc>
        <w:tc>
          <w:tcPr>
            <w:tcW w:w="1088" w:type="dxa"/>
            <w:tcBorders>
              <w:bottom w:val="single" w:sz="4" w:space="0" w:color="93B7BB"/>
            </w:tcBorders>
            <w:shd w:val="clear" w:color="auto" w:fill="EFF4F5"/>
            <w:vAlign w:val="bottom"/>
          </w:tcPr>
          <w:p w14:paraId="5E6B86F1" w14:textId="159E1609" w:rsidR="00A74C32" w:rsidRPr="00716EDB" w:rsidRDefault="00EA4C51" w:rsidP="005A27EF">
            <w:pPr>
              <w:pStyle w:val="Tabletext"/>
              <w:jc w:val="right"/>
              <w:rPr>
                <w:b/>
                <w:bCs/>
              </w:rPr>
            </w:pPr>
            <w:r>
              <w:rPr>
                <w:b/>
                <w:bCs/>
              </w:rPr>
              <w:t>60.0</w:t>
            </w:r>
          </w:p>
        </w:tc>
        <w:tc>
          <w:tcPr>
            <w:tcW w:w="1088" w:type="dxa"/>
            <w:tcBorders>
              <w:bottom w:val="single" w:sz="4" w:space="0" w:color="93B7BB"/>
            </w:tcBorders>
            <w:vAlign w:val="bottom"/>
          </w:tcPr>
          <w:p w14:paraId="5E24A8E9" w14:textId="1A2F1B68" w:rsidR="00A74C32" w:rsidRPr="00716EDB" w:rsidRDefault="00A74C32" w:rsidP="005A27EF">
            <w:pPr>
              <w:pStyle w:val="Tabletext"/>
              <w:jc w:val="right"/>
              <w:rPr>
                <w:b/>
                <w:bCs/>
              </w:rPr>
            </w:pPr>
            <w:r w:rsidRPr="00716EDB">
              <w:rPr>
                <w:b/>
                <w:bCs/>
              </w:rPr>
              <w:t>6.0</w:t>
            </w:r>
          </w:p>
        </w:tc>
      </w:tr>
      <w:tr w:rsidR="00A74C32" w:rsidRPr="00716EDB" w14:paraId="598BB645" w14:textId="77777777" w:rsidTr="00C85A27">
        <w:tc>
          <w:tcPr>
            <w:tcW w:w="5809" w:type="dxa"/>
            <w:tcBorders>
              <w:top w:val="single" w:sz="4" w:space="0" w:color="93B7BB"/>
            </w:tcBorders>
            <w:vAlign w:val="bottom"/>
          </w:tcPr>
          <w:p w14:paraId="673EAD40" w14:textId="77777777" w:rsidR="00A74C32" w:rsidRPr="00716EDB" w:rsidRDefault="00A74C32" w:rsidP="0015087B">
            <w:pPr>
              <w:pStyle w:val="Tabletext"/>
            </w:pPr>
          </w:p>
        </w:tc>
        <w:tc>
          <w:tcPr>
            <w:tcW w:w="1087" w:type="dxa"/>
            <w:tcBorders>
              <w:top w:val="single" w:sz="4" w:space="0" w:color="93B7BB"/>
            </w:tcBorders>
            <w:vAlign w:val="bottom"/>
          </w:tcPr>
          <w:p w14:paraId="6A895015" w14:textId="77777777" w:rsidR="00A74C32" w:rsidRPr="00716EDB" w:rsidRDefault="00A74C32" w:rsidP="005A27EF">
            <w:pPr>
              <w:pStyle w:val="Tabletext"/>
              <w:jc w:val="right"/>
              <w:rPr>
                <w:b/>
                <w:bCs/>
              </w:rPr>
            </w:pPr>
          </w:p>
        </w:tc>
        <w:tc>
          <w:tcPr>
            <w:tcW w:w="1088" w:type="dxa"/>
            <w:tcBorders>
              <w:top w:val="single" w:sz="4" w:space="0" w:color="93B7BB"/>
            </w:tcBorders>
            <w:shd w:val="clear" w:color="auto" w:fill="EFF4F5"/>
            <w:vAlign w:val="bottom"/>
          </w:tcPr>
          <w:p w14:paraId="30D21BAF" w14:textId="77777777" w:rsidR="00A74C32" w:rsidRPr="00716EDB" w:rsidRDefault="00A74C32" w:rsidP="005A27EF">
            <w:pPr>
              <w:pStyle w:val="Tabletext"/>
              <w:jc w:val="right"/>
              <w:rPr>
                <w:b/>
                <w:bCs/>
              </w:rPr>
            </w:pPr>
          </w:p>
        </w:tc>
        <w:tc>
          <w:tcPr>
            <w:tcW w:w="1088" w:type="dxa"/>
            <w:tcBorders>
              <w:top w:val="single" w:sz="4" w:space="0" w:color="93B7BB"/>
            </w:tcBorders>
            <w:vAlign w:val="bottom"/>
          </w:tcPr>
          <w:p w14:paraId="077CCB30" w14:textId="77777777" w:rsidR="00A74C32" w:rsidRPr="00716EDB" w:rsidRDefault="00A74C32" w:rsidP="005A27EF">
            <w:pPr>
              <w:pStyle w:val="Tabletext"/>
              <w:jc w:val="right"/>
              <w:rPr>
                <w:b/>
                <w:bCs/>
              </w:rPr>
            </w:pPr>
          </w:p>
        </w:tc>
      </w:tr>
      <w:tr w:rsidR="00C85A27" w:rsidRPr="00716EDB" w14:paraId="4E690D5B" w14:textId="77777777" w:rsidTr="00C85A27">
        <w:tc>
          <w:tcPr>
            <w:tcW w:w="5809" w:type="dxa"/>
            <w:vAlign w:val="bottom"/>
          </w:tcPr>
          <w:p w14:paraId="49185EC2" w14:textId="0F0EBA36" w:rsidR="00C85A27" w:rsidRPr="0015087B" w:rsidRDefault="00C85A27" w:rsidP="0015087B">
            <w:pPr>
              <w:pStyle w:val="Tabletext"/>
              <w:rPr>
                <w:b/>
              </w:rPr>
            </w:pPr>
            <w:r w:rsidRPr="0015087B">
              <w:rPr>
                <w:b/>
              </w:rPr>
              <w:t>Earnings per share</w:t>
            </w:r>
            <w:r>
              <w:rPr>
                <w:b/>
              </w:rPr>
              <w:t xml:space="preserve"> </w:t>
            </w:r>
            <w:r w:rsidRPr="0015087B">
              <w:rPr>
                <w:b/>
              </w:rPr>
              <w:t>(in pence per share)</w:t>
            </w:r>
          </w:p>
        </w:tc>
        <w:tc>
          <w:tcPr>
            <w:tcW w:w="1087" w:type="dxa"/>
            <w:vAlign w:val="bottom"/>
          </w:tcPr>
          <w:p w14:paraId="46F811A4" w14:textId="77777777" w:rsidR="00C85A27" w:rsidRPr="00716EDB" w:rsidRDefault="00C85A27" w:rsidP="00F97892">
            <w:pPr>
              <w:pStyle w:val="Tabletext"/>
              <w:jc w:val="right"/>
              <w:rPr>
                <w:bCs/>
              </w:rPr>
            </w:pPr>
          </w:p>
        </w:tc>
        <w:tc>
          <w:tcPr>
            <w:tcW w:w="1088" w:type="dxa"/>
            <w:shd w:val="clear" w:color="auto" w:fill="EFF4F5"/>
            <w:vAlign w:val="bottom"/>
          </w:tcPr>
          <w:p w14:paraId="35C9A043" w14:textId="77777777" w:rsidR="00C85A27" w:rsidRPr="00716EDB" w:rsidRDefault="00C85A27" w:rsidP="005A27EF">
            <w:pPr>
              <w:pStyle w:val="Tabletext"/>
              <w:jc w:val="right"/>
              <w:rPr>
                <w:b/>
                <w:bCs/>
              </w:rPr>
            </w:pPr>
          </w:p>
        </w:tc>
        <w:tc>
          <w:tcPr>
            <w:tcW w:w="1088" w:type="dxa"/>
            <w:vAlign w:val="bottom"/>
          </w:tcPr>
          <w:p w14:paraId="13160275" w14:textId="77777777" w:rsidR="00C85A27" w:rsidRPr="00716EDB" w:rsidRDefault="00C85A27" w:rsidP="005A27EF">
            <w:pPr>
              <w:pStyle w:val="Tabletext"/>
              <w:jc w:val="right"/>
              <w:rPr>
                <w:b/>
                <w:bCs/>
              </w:rPr>
            </w:pPr>
          </w:p>
        </w:tc>
      </w:tr>
      <w:tr w:rsidR="00C85A27" w:rsidRPr="00716EDB" w14:paraId="31087FF7" w14:textId="77777777" w:rsidTr="00C85A27">
        <w:tc>
          <w:tcPr>
            <w:tcW w:w="5809" w:type="dxa"/>
            <w:vAlign w:val="bottom"/>
          </w:tcPr>
          <w:p w14:paraId="5611288E" w14:textId="67C9E9B3" w:rsidR="00C85A27" w:rsidRPr="0015087B" w:rsidRDefault="00C85A27" w:rsidP="00C85A27">
            <w:pPr>
              <w:pStyle w:val="Tabletext"/>
              <w:rPr>
                <w:b/>
              </w:rPr>
            </w:pPr>
            <w:r w:rsidRPr="0015087B">
              <w:rPr>
                <w:b/>
              </w:rPr>
              <w:t xml:space="preserve">– basic </w:t>
            </w:r>
          </w:p>
        </w:tc>
        <w:tc>
          <w:tcPr>
            <w:tcW w:w="1087" w:type="dxa"/>
            <w:vAlign w:val="bottom"/>
          </w:tcPr>
          <w:p w14:paraId="6B4DA873" w14:textId="6CA02DF2" w:rsidR="00C85A27" w:rsidRPr="00716EDB" w:rsidRDefault="00C85A27" w:rsidP="00F97892">
            <w:pPr>
              <w:pStyle w:val="Tabletext"/>
              <w:jc w:val="right"/>
              <w:rPr>
                <w:bCs/>
              </w:rPr>
            </w:pPr>
            <w:r>
              <w:rPr>
                <w:bCs/>
              </w:rPr>
              <w:t>12</w:t>
            </w:r>
          </w:p>
        </w:tc>
        <w:tc>
          <w:tcPr>
            <w:tcW w:w="1088" w:type="dxa"/>
            <w:shd w:val="clear" w:color="auto" w:fill="EFF4F5"/>
            <w:vAlign w:val="bottom"/>
          </w:tcPr>
          <w:p w14:paraId="1D442DF4" w14:textId="522071CF" w:rsidR="00C85A27" w:rsidRPr="00716EDB" w:rsidRDefault="00C85A27" w:rsidP="005A27EF">
            <w:pPr>
              <w:pStyle w:val="Tabletext"/>
              <w:jc w:val="right"/>
              <w:rPr>
                <w:b/>
                <w:bCs/>
              </w:rPr>
            </w:pPr>
            <w:r>
              <w:rPr>
                <w:b/>
                <w:bCs/>
              </w:rPr>
              <w:t>15.0</w:t>
            </w:r>
          </w:p>
        </w:tc>
        <w:tc>
          <w:tcPr>
            <w:tcW w:w="1088" w:type="dxa"/>
            <w:vAlign w:val="bottom"/>
          </w:tcPr>
          <w:p w14:paraId="5BA3ABF3" w14:textId="0FD92C98" w:rsidR="00C85A27" w:rsidRPr="00716EDB" w:rsidRDefault="00C85A27" w:rsidP="005A27EF">
            <w:pPr>
              <w:pStyle w:val="Tabletext"/>
              <w:jc w:val="right"/>
              <w:rPr>
                <w:b/>
                <w:bCs/>
              </w:rPr>
            </w:pPr>
            <w:r>
              <w:rPr>
                <w:b/>
                <w:bCs/>
              </w:rPr>
              <w:t>1.9</w:t>
            </w:r>
          </w:p>
        </w:tc>
      </w:tr>
      <w:tr w:rsidR="00A74C32" w:rsidRPr="00716EDB" w14:paraId="6CEC94B7" w14:textId="77777777" w:rsidTr="00C85A27">
        <w:tc>
          <w:tcPr>
            <w:tcW w:w="5809" w:type="dxa"/>
            <w:tcBorders>
              <w:bottom w:val="single" w:sz="4" w:space="0" w:color="93B7BB"/>
            </w:tcBorders>
            <w:vAlign w:val="bottom"/>
          </w:tcPr>
          <w:p w14:paraId="5FDC59FE" w14:textId="50F495B7" w:rsidR="00A74C32" w:rsidRPr="0015087B" w:rsidRDefault="00A74C32" w:rsidP="00C85A27">
            <w:pPr>
              <w:pStyle w:val="Tabletext"/>
              <w:rPr>
                <w:b/>
              </w:rPr>
            </w:pPr>
            <w:r w:rsidRPr="0015087B">
              <w:rPr>
                <w:b/>
              </w:rPr>
              <w:t>–</w:t>
            </w:r>
            <w:r w:rsidR="00C85A27">
              <w:rPr>
                <w:b/>
              </w:rPr>
              <w:t xml:space="preserve"> diluted </w:t>
            </w:r>
          </w:p>
        </w:tc>
        <w:tc>
          <w:tcPr>
            <w:tcW w:w="1087" w:type="dxa"/>
            <w:tcBorders>
              <w:bottom w:val="single" w:sz="4" w:space="0" w:color="93B7BB"/>
            </w:tcBorders>
            <w:vAlign w:val="bottom"/>
          </w:tcPr>
          <w:p w14:paraId="237558D1" w14:textId="7788A807" w:rsidR="00A74C32" w:rsidRPr="00716EDB" w:rsidRDefault="00A74C32" w:rsidP="00F97892">
            <w:pPr>
              <w:pStyle w:val="Tabletext"/>
              <w:jc w:val="right"/>
              <w:rPr>
                <w:bCs/>
              </w:rPr>
            </w:pPr>
            <w:r w:rsidRPr="00716EDB">
              <w:rPr>
                <w:bCs/>
              </w:rPr>
              <w:t>1</w:t>
            </w:r>
            <w:r w:rsidR="00F97892">
              <w:rPr>
                <w:bCs/>
              </w:rPr>
              <w:t>2</w:t>
            </w:r>
          </w:p>
        </w:tc>
        <w:tc>
          <w:tcPr>
            <w:tcW w:w="1088" w:type="dxa"/>
            <w:tcBorders>
              <w:bottom w:val="single" w:sz="4" w:space="0" w:color="93B7BB"/>
            </w:tcBorders>
            <w:shd w:val="clear" w:color="auto" w:fill="EFF4F5"/>
            <w:vAlign w:val="bottom"/>
          </w:tcPr>
          <w:p w14:paraId="67DD00D9" w14:textId="41BAF45B" w:rsidR="00A74C32" w:rsidRPr="00716EDB" w:rsidRDefault="00C85A27" w:rsidP="005A27EF">
            <w:pPr>
              <w:pStyle w:val="Tabletext"/>
              <w:jc w:val="right"/>
              <w:rPr>
                <w:b/>
                <w:bCs/>
              </w:rPr>
            </w:pPr>
            <w:r>
              <w:rPr>
                <w:b/>
                <w:bCs/>
              </w:rPr>
              <w:t>14.9</w:t>
            </w:r>
          </w:p>
        </w:tc>
        <w:tc>
          <w:tcPr>
            <w:tcW w:w="1088" w:type="dxa"/>
            <w:tcBorders>
              <w:bottom w:val="single" w:sz="4" w:space="0" w:color="93B7BB"/>
            </w:tcBorders>
            <w:vAlign w:val="bottom"/>
          </w:tcPr>
          <w:p w14:paraId="24766425" w14:textId="268DDA91" w:rsidR="00A74C32" w:rsidRPr="00716EDB" w:rsidRDefault="00A74C32" w:rsidP="005A27EF">
            <w:pPr>
              <w:pStyle w:val="Tabletext"/>
              <w:jc w:val="right"/>
              <w:rPr>
                <w:b/>
                <w:bCs/>
              </w:rPr>
            </w:pPr>
            <w:r w:rsidRPr="00716EDB">
              <w:rPr>
                <w:b/>
                <w:bCs/>
              </w:rPr>
              <w:t>1.9</w:t>
            </w:r>
          </w:p>
        </w:tc>
      </w:tr>
    </w:tbl>
    <w:p w14:paraId="4B120FF0" w14:textId="77777777" w:rsidR="009E3DBD" w:rsidRDefault="009E3DBD" w:rsidP="00EA63FD"/>
    <w:p w14:paraId="3A11D115" w14:textId="77777777" w:rsidR="00A868F4" w:rsidRDefault="00A868F4">
      <w:pPr>
        <w:spacing w:after="160" w:line="259" w:lineRule="auto"/>
        <w:rPr>
          <w:rFonts w:asciiTheme="majorHAnsi" w:eastAsiaTheme="majorEastAsia" w:hAnsiTheme="majorHAnsi" w:cstheme="majorBidi"/>
          <w:sz w:val="56"/>
          <w:szCs w:val="32"/>
        </w:rPr>
      </w:pPr>
      <w:r>
        <w:br w:type="page"/>
      </w:r>
    </w:p>
    <w:p w14:paraId="0EFA53EA" w14:textId="4B9F51CC" w:rsidR="00B22F3C" w:rsidRPr="00364452" w:rsidRDefault="00B22F3C" w:rsidP="00B626AD">
      <w:pPr>
        <w:pStyle w:val="Heading1"/>
      </w:pPr>
      <w:r w:rsidRPr="00364452">
        <w:lastRenderedPageBreak/>
        <w:t>Consolidated statement of comprehensive income</w:t>
      </w:r>
    </w:p>
    <w:p w14:paraId="3471F6CC" w14:textId="6F4AB6FC" w:rsidR="00B22F3C" w:rsidRPr="00C34AE4" w:rsidRDefault="00B22F3C" w:rsidP="00B626AD">
      <w:pPr>
        <w:pStyle w:val="Heading3"/>
      </w:pPr>
      <w:r w:rsidRPr="00C34AE4">
        <w:t>For the year ended 31 December 201</w:t>
      </w:r>
      <w:r w:rsidR="00DA1A56">
        <w:t>5</w:t>
      </w:r>
    </w:p>
    <w:tbl>
      <w:tblPr>
        <w:tblStyle w:val="TableGrid"/>
        <w:tblW w:w="9072" w:type="dxa"/>
        <w:tblCellMar>
          <w:left w:w="0" w:type="dxa"/>
          <w:right w:w="57" w:type="dxa"/>
        </w:tblCellMar>
        <w:tblLook w:val="04A0" w:firstRow="1" w:lastRow="0" w:firstColumn="1" w:lastColumn="0" w:noHBand="0" w:noVBand="1"/>
      </w:tblPr>
      <w:tblGrid>
        <w:gridCol w:w="6748"/>
        <w:gridCol w:w="1162"/>
        <w:gridCol w:w="1162"/>
      </w:tblGrid>
      <w:tr w:rsidR="0015087B" w:rsidRPr="00716EDB" w14:paraId="7D737BA6" w14:textId="77777777" w:rsidTr="0019479E">
        <w:tc>
          <w:tcPr>
            <w:tcW w:w="6748" w:type="dxa"/>
            <w:tcBorders>
              <w:top w:val="nil"/>
              <w:left w:val="nil"/>
              <w:bottom w:val="single" w:sz="4" w:space="0" w:color="93B7BB"/>
              <w:right w:val="nil"/>
            </w:tcBorders>
          </w:tcPr>
          <w:p w14:paraId="1315D232" w14:textId="77777777" w:rsidR="0015087B" w:rsidRPr="00716EDB" w:rsidRDefault="0015087B" w:rsidP="00B626AD">
            <w:pPr>
              <w:pStyle w:val="Tableheading"/>
              <w:keepNext/>
              <w:keepLines/>
            </w:pPr>
            <w:r w:rsidRPr="00716EDB">
              <w:t>(£ million)</w:t>
            </w:r>
          </w:p>
        </w:tc>
        <w:tc>
          <w:tcPr>
            <w:tcW w:w="1162" w:type="dxa"/>
            <w:tcBorders>
              <w:top w:val="nil"/>
              <w:left w:val="nil"/>
              <w:bottom w:val="single" w:sz="4" w:space="0" w:color="93B7BB"/>
              <w:right w:val="nil"/>
            </w:tcBorders>
            <w:vAlign w:val="bottom"/>
          </w:tcPr>
          <w:p w14:paraId="472D72B9" w14:textId="59EF505B" w:rsidR="0015087B" w:rsidRPr="0015087B" w:rsidRDefault="0015087B" w:rsidP="00DA1A56">
            <w:pPr>
              <w:pStyle w:val="Tableheading"/>
              <w:keepNext/>
              <w:keepLines/>
              <w:jc w:val="right"/>
              <w:rPr>
                <w:b/>
              </w:rPr>
            </w:pPr>
            <w:r w:rsidRPr="0015087B">
              <w:rPr>
                <w:b/>
              </w:rPr>
              <w:t>201</w:t>
            </w:r>
            <w:r w:rsidR="00DA1A56">
              <w:rPr>
                <w:b/>
              </w:rPr>
              <w:t>5</w:t>
            </w:r>
          </w:p>
        </w:tc>
        <w:tc>
          <w:tcPr>
            <w:tcW w:w="1162" w:type="dxa"/>
            <w:tcBorders>
              <w:top w:val="nil"/>
              <w:left w:val="nil"/>
              <w:bottom w:val="single" w:sz="4" w:space="0" w:color="93B7BB"/>
              <w:right w:val="nil"/>
            </w:tcBorders>
            <w:vAlign w:val="bottom"/>
          </w:tcPr>
          <w:p w14:paraId="359703A4" w14:textId="53312821" w:rsidR="0015087B" w:rsidRPr="00716EDB" w:rsidRDefault="0015087B" w:rsidP="00DA1A56">
            <w:pPr>
              <w:pStyle w:val="Tableheading"/>
              <w:keepNext/>
              <w:keepLines/>
              <w:jc w:val="right"/>
            </w:pPr>
            <w:r w:rsidRPr="00716EDB">
              <w:t>201</w:t>
            </w:r>
            <w:r w:rsidR="00DA1A56">
              <w:t>4</w:t>
            </w:r>
          </w:p>
        </w:tc>
      </w:tr>
      <w:tr w:rsidR="0019479E" w:rsidRPr="00716EDB" w14:paraId="378E72C6" w14:textId="77777777" w:rsidTr="0019479E">
        <w:tc>
          <w:tcPr>
            <w:tcW w:w="6748" w:type="dxa"/>
            <w:tcBorders>
              <w:top w:val="single" w:sz="4" w:space="0" w:color="93B7BB"/>
              <w:left w:val="nil"/>
              <w:bottom w:val="nil"/>
              <w:right w:val="nil"/>
            </w:tcBorders>
          </w:tcPr>
          <w:p w14:paraId="525B7DAC" w14:textId="77777777" w:rsidR="0019479E" w:rsidRPr="00716EDB" w:rsidRDefault="0019479E" w:rsidP="00C85A27">
            <w:pPr>
              <w:pStyle w:val="Tabletext"/>
            </w:pPr>
            <w:r w:rsidRPr="00C85A27">
              <w:rPr>
                <w:b/>
              </w:rPr>
              <w:t>Profit for the year</w:t>
            </w:r>
          </w:p>
        </w:tc>
        <w:tc>
          <w:tcPr>
            <w:tcW w:w="1162" w:type="dxa"/>
            <w:tcBorders>
              <w:top w:val="single" w:sz="4" w:space="0" w:color="93B7BB"/>
              <w:left w:val="nil"/>
              <w:bottom w:val="nil"/>
              <w:right w:val="nil"/>
            </w:tcBorders>
            <w:shd w:val="clear" w:color="auto" w:fill="EFF4F5"/>
            <w:vAlign w:val="bottom"/>
          </w:tcPr>
          <w:p w14:paraId="1AF11EC1" w14:textId="12956138" w:rsidR="0019479E" w:rsidRPr="006D1B0B" w:rsidRDefault="00C85A27" w:rsidP="00B626AD">
            <w:pPr>
              <w:pStyle w:val="Tabletext"/>
              <w:keepNext/>
              <w:keepLines/>
              <w:jc w:val="right"/>
              <w:rPr>
                <w:b/>
              </w:rPr>
            </w:pPr>
            <w:r>
              <w:rPr>
                <w:b/>
              </w:rPr>
              <w:t>60.0</w:t>
            </w:r>
          </w:p>
        </w:tc>
        <w:tc>
          <w:tcPr>
            <w:tcW w:w="1162" w:type="dxa"/>
            <w:tcBorders>
              <w:top w:val="single" w:sz="4" w:space="0" w:color="93B7BB"/>
              <w:left w:val="nil"/>
              <w:bottom w:val="nil"/>
              <w:right w:val="nil"/>
            </w:tcBorders>
            <w:vAlign w:val="bottom"/>
          </w:tcPr>
          <w:p w14:paraId="2F35A1D7" w14:textId="4A9934E4" w:rsidR="0019479E" w:rsidRPr="006326C2" w:rsidRDefault="0019479E" w:rsidP="00B626AD">
            <w:pPr>
              <w:pStyle w:val="Tabletext"/>
              <w:keepNext/>
              <w:keepLines/>
              <w:jc w:val="right"/>
            </w:pPr>
            <w:r w:rsidRPr="006326C2">
              <w:t>6.0</w:t>
            </w:r>
          </w:p>
        </w:tc>
      </w:tr>
      <w:tr w:rsidR="0019479E" w:rsidRPr="00716EDB" w14:paraId="5C2FC830" w14:textId="77777777" w:rsidTr="0019479E">
        <w:tc>
          <w:tcPr>
            <w:tcW w:w="6748" w:type="dxa"/>
            <w:tcBorders>
              <w:top w:val="single" w:sz="4" w:space="0" w:color="93B7BB"/>
              <w:left w:val="nil"/>
              <w:bottom w:val="nil"/>
              <w:right w:val="nil"/>
            </w:tcBorders>
          </w:tcPr>
          <w:p w14:paraId="792531F4" w14:textId="4A915B9C" w:rsidR="0019479E" w:rsidRPr="00716EDB" w:rsidRDefault="0019479E" w:rsidP="0015087B">
            <w:pPr>
              <w:pStyle w:val="Tabletext"/>
              <w:rPr>
                <w:lang w:val="en-US" w:eastAsia="nl-NL"/>
              </w:rPr>
            </w:pPr>
          </w:p>
        </w:tc>
        <w:tc>
          <w:tcPr>
            <w:tcW w:w="1162" w:type="dxa"/>
            <w:tcBorders>
              <w:top w:val="single" w:sz="4" w:space="0" w:color="93B7BB"/>
              <w:left w:val="nil"/>
              <w:bottom w:val="nil"/>
              <w:right w:val="nil"/>
            </w:tcBorders>
            <w:shd w:val="clear" w:color="auto" w:fill="EFF4F5"/>
            <w:vAlign w:val="bottom"/>
          </w:tcPr>
          <w:p w14:paraId="22FA5394" w14:textId="45743D39" w:rsidR="0019479E" w:rsidRPr="006D1B0B" w:rsidRDefault="0019479E" w:rsidP="0015087B">
            <w:pPr>
              <w:pStyle w:val="Tabletext"/>
              <w:jc w:val="right"/>
              <w:rPr>
                <w:b/>
              </w:rPr>
            </w:pPr>
          </w:p>
        </w:tc>
        <w:tc>
          <w:tcPr>
            <w:tcW w:w="1162" w:type="dxa"/>
            <w:tcBorders>
              <w:top w:val="single" w:sz="4" w:space="0" w:color="93B7BB"/>
              <w:left w:val="nil"/>
              <w:bottom w:val="nil"/>
              <w:right w:val="nil"/>
            </w:tcBorders>
            <w:vAlign w:val="bottom"/>
          </w:tcPr>
          <w:p w14:paraId="78652B01" w14:textId="175D8D79" w:rsidR="0019479E" w:rsidRPr="006326C2" w:rsidRDefault="0019479E" w:rsidP="0015087B">
            <w:pPr>
              <w:pStyle w:val="Tabletext"/>
              <w:jc w:val="right"/>
            </w:pPr>
          </w:p>
        </w:tc>
      </w:tr>
      <w:tr w:rsidR="0019479E" w:rsidRPr="00716EDB" w14:paraId="60042162" w14:textId="77777777" w:rsidTr="0019479E">
        <w:tc>
          <w:tcPr>
            <w:tcW w:w="6748" w:type="dxa"/>
            <w:tcBorders>
              <w:top w:val="single" w:sz="4" w:space="0" w:color="93B7BB"/>
              <w:left w:val="nil"/>
              <w:bottom w:val="single" w:sz="4" w:space="0" w:color="93B7BB"/>
              <w:right w:val="nil"/>
            </w:tcBorders>
          </w:tcPr>
          <w:p w14:paraId="57772CB5" w14:textId="77777777" w:rsidR="0019479E" w:rsidRPr="00C85A27" w:rsidRDefault="0019479E" w:rsidP="0015087B">
            <w:pPr>
              <w:pStyle w:val="Tabletext"/>
              <w:rPr>
                <w:lang w:val="en-US" w:eastAsia="nl-NL"/>
              </w:rPr>
            </w:pPr>
            <w:r w:rsidRPr="00C85A27">
              <w:t>Total comprehensive income for the year</w:t>
            </w:r>
          </w:p>
        </w:tc>
        <w:tc>
          <w:tcPr>
            <w:tcW w:w="1162" w:type="dxa"/>
            <w:tcBorders>
              <w:top w:val="single" w:sz="4" w:space="0" w:color="93B7BB"/>
              <w:left w:val="nil"/>
              <w:bottom w:val="single" w:sz="4" w:space="0" w:color="93B7BB"/>
              <w:right w:val="nil"/>
            </w:tcBorders>
            <w:shd w:val="clear" w:color="auto" w:fill="EFF4F5"/>
            <w:vAlign w:val="bottom"/>
          </w:tcPr>
          <w:p w14:paraId="11FAEEA1" w14:textId="30A93DB3" w:rsidR="0019479E" w:rsidRPr="00C85A27" w:rsidRDefault="00C85A27" w:rsidP="0015087B">
            <w:pPr>
              <w:pStyle w:val="Tabletext"/>
              <w:jc w:val="right"/>
              <w:rPr>
                <w:b/>
              </w:rPr>
            </w:pPr>
            <w:r w:rsidRPr="00C85A27">
              <w:rPr>
                <w:b/>
              </w:rPr>
              <w:t>–</w:t>
            </w:r>
          </w:p>
        </w:tc>
        <w:tc>
          <w:tcPr>
            <w:tcW w:w="1162" w:type="dxa"/>
            <w:tcBorders>
              <w:top w:val="single" w:sz="4" w:space="0" w:color="93B7BB"/>
              <w:left w:val="nil"/>
              <w:bottom w:val="single" w:sz="4" w:space="0" w:color="93B7BB"/>
              <w:right w:val="nil"/>
            </w:tcBorders>
            <w:vAlign w:val="bottom"/>
          </w:tcPr>
          <w:p w14:paraId="62A145EB" w14:textId="79D59A82" w:rsidR="0019479E" w:rsidRPr="006326C2" w:rsidRDefault="00C85A27" w:rsidP="00C85A27">
            <w:pPr>
              <w:pStyle w:val="Tabletext"/>
              <w:jc w:val="right"/>
            </w:pPr>
            <w:r w:rsidRPr="00716EDB">
              <w:t>–</w:t>
            </w:r>
          </w:p>
        </w:tc>
      </w:tr>
      <w:tr w:rsidR="0019479E" w:rsidRPr="00716EDB" w14:paraId="564EB5B9" w14:textId="77777777" w:rsidTr="0019479E">
        <w:tc>
          <w:tcPr>
            <w:tcW w:w="6748" w:type="dxa"/>
            <w:tcBorders>
              <w:top w:val="single" w:sz="4" w:space="0" w:color="93B7BB"/>
              <w:left w:val="nil"/>
              <w:bottom w:val="single" w:sz="4" w:space="0" w:color="93B7BB"/>
              <w:right w:val="nil"/>
            </w:tcBorders>
          </w:tcPr>
          <w:p w14:paraId="1981A4B7" w14:textId="77777777" w:rsidR="0019479E" w:rsidRPr="00716EDB" w:rsidRDefault="0019479E" w:rsidP="0015087B">
            <w:pPr>
              <w:pStyle w:val="Tabletext"/>
            </w:pPr>
          </w:p>
        </w:tc>
        <w:tc>
          <w:tcPr>
            <w:tcW w:w="1162" w:type="dxa"/>
            <w:tcBorders>
              <w:top w:val="single" w:sz="4" w:space="0" w:color="93B7BB"/>
              <w:left w:val="nil"/>
              <w:bottom w:val="single" w:sz="4" w:space="0" w:color="93B7BB"/>
              <w:right w:val="nil"/>
            </w:tcBorders>
            <w:shd w:val="clear" w:color="auto" w:fill="EFF4F5"/>
            <w:vAlign w:val="bottom"/>
          </w:tcPr>
          <w:p w14:paraId="1D98BA7A" w14:textId="77777777" w:rsidR="0019479E" w:rsidRPr="006D1B0B" w:rsidRDefault="0019479E" w:rsidP="0015087B">
            <w:pPr>
              <w:pStyle w:val="Tabletext"/>
              <w:jc w:val="right"/>
              <w:rPr>
                <w:b/>
              </w:rPr>
            </w:pPr>
          </w:p>
        </w:tc>
        <w:tc>
          <w:tcPr>
            <w:tcW w:w="1162" w:type="dxa"/>
            <w:tcBorders>
              <w:top w:val="single" w:sz="4" w:space="0" w:color="93B7BB"/>
              <w:left w:val="nil"/>
              <w:bottom w:val="single" w:sz="4" w:space="0" w:color="93B7BB"/>
              <w:right w:val="nil"/>
            </w:tcBorders>
            <w:vAlign w:val="bottom"/>
          </w:tcPr>
          <w:p w14:paraId="0736A46E" w14:textId="77777777" w:rsidR="0019479E" w:rsidRPr="006326C2" w:rsidRDefault="0019479E" w:rsidP="0015087B">
            <w:pPr>
              <w:pStyle w:val="Tabletext"/>
              <w:jc w:val="right"/>
            </w:pPr>
          </w:p>
        </w:tc>
      </w:tr>
      <w:tr w:rsidR="0019479E" w:rsidRPr="00716EDB" w14:paraId="3049F8AF" w14:textId="77777777" w:rsidTr="0019479E">
        <w:tc>
          <w:tcPr>
            <w:tcW w:w="6748" w:type="dxa"/>
            <w:tcBorders>
              <w:top w:val="single" w:sz="4" w:space="0" w:color="93B7BB"/>
              <w:left w:val="nil"/>
              <w:bottom w:val="single" w:sz="4" w:space="0" w:color="93B7BB"/>
              <w:right w:val="nil"/>
            </w:tcBorders>
          </w:tcPr>
          <w:p w14:paraId="249E6907" w14:textId="33BAE501" w:rsidR="0019479E" w:rsidRPr="00716EDB" w:rsidRDefault="0019479E" w:rsidP="0015087B">
            <w:pPr>
              <w:pStyle w:val="Tabletext"/>
              <w:rPr>
                <w:b/>
              </w:rPr>
            </w:pPr>
            <w:r w:rsidRPr="00716EDB">
              <w:rPr>
                <w:b/>
              </w:rPr>
              <w:t xml:space="preserve">Total comprehensive income for the year attributable to owners of the </w:t>
            </w:r>
            <w:r>
              <w:rPr>
                <w:b/>
              </w:rPr>
              <w:t>P</w:t>
            </w:r>
            <w:r w:rsidRPr="00716EDB">
              <w:rPr>
                <w:b/>
              </w:rPr>
              <w:t>arent</w:t>
            </w:r>
          </w:p>
        </w:tc>
        <w:tc>
          <w:tcPr>
            <w:tcW w:w="1162" w:type="dxa"/>
            <w:tcBorders>
              <w:top w:val="single" w:sz="4" w:space="0" w:color="93B7BB"/>
              <w:left w:val="nil"/>
              <w:bottom w:val="single" w:sz="4" w:space="0" w:color="93B7BB"/>
              <w:right w:val="nil"/>
            </w:tcBorders>
            <w:shd w:val="clear" w:color="auto" w:fill="EFF4F5"/>
            <w:vAlign w:val="bottom"/>
          </w:tcPr>
          <w:p w14:paraId="6C2FFDD1" w14:textId="67B0C65B" w:rsidR="0019479E" w:rsidRPr="006D1B0B" w:rsidRDefault="00C85A27" w:rsidP="0015087B">
            <w:pPr>
              <w:pStyle w:val="Tabletext"/>
              <w:jc w:val="right"/>
              <w:rPr>
                <w:b/>
              </w:rPr>
            </w:pPr>
            <w:r>
              <w:rPr>
                <w:b/>
              </w:rPr>
              <w:t>60.0</w:t>
            </w:r>
          </w:p>
        </w:tc>
        <w:tc>
          <w:tcPr>
            <w:tcW w:w="1162" w:type="dxa"/>
            <w:tcBorders>
              <w:top w:val="single" w:sz="4" w:space="0" w:color="93B7BB"/>
              <w:left w:val="nil"/>
              <w:bottom w:val="single" w:sz="4" w:space="0" w:color="93B7BB"/>
              <w:right w:val="nil"/>
            </w:tcBorders>
            <w:vAlign w:val="bottom"/>
          </w:tcPr>
          <w:p w14:paraId="082937AF" w14:textId="165782AD" w:rsidR="0019479E" w:rsidRPr="006326C2" w:rsidRDefault="0019479E" w:rsidP="0015087B">
            <w:pPr>
              <w:pStyle w:val="Tabletext"/>
              <w:jc w:val="right"/>
            </w:pPr>
            <w:r w:rsidRPr="006326C2">
              <w:t>6.0</w:t>
            </w:r>
          </w:p>
        </w:tc>
      </w:tr>
    </w:tbl>
    <w:p w14:paraId="20D62FB0" w14:textId="77777777" w:rsidR="00B22F3C" w:rsidRPr="003F7380" w:rsidRDefault="00B22F3C" w:rsidP="0015087B">
      <w:pPr>
        <w:pStyle w:val="Footnote"/>
      </w:pPr>
    </w:p>
    <w:p w14:paraId="3FCD78DE" w14:textId="77777777" w:rsidR="00B22F3C" w:rsidRDefault="00B22F3C" w:rsidP="00EA63FD"/>
    <w:p w14:paraId="14E1D6D6" w14:textId="77777777" w:rsidR="0073620B" w:rsidRDefault="0073620B">
      <w:pPr>
        <w:spacing w:after="160" w:line="259" w:lineRule="auto"/>
        <w:rPr>
          <w:rFonts w:asciiTheme="majorHAnsi" w:eastAsiaTheme="majorEastAsia" w:hAnsiTheme="majorHAnsi" w:cstheme="majorBidi"/>
          <w:sz w:val="56"/>
          <w:szCs w:val="32"/>
        </w:rPr>
      </w:pPr>
      <w:r>
        <w:br w:type="page"/>
      </w:r>
    </w:p>
    <w:p w14:paraId="48A2C03A" w14:textId="34CC18D8" w:rsidR="00B22F3C" w:rsidRPr="00364452" w:rsidRDefault="00B22F3C" w:rsidP="00B626AD">
      <w:pPr>
        <w:pStyle w:val="Heading1"/>
      </w:pPr>
      <w:r w:rsidRPr="00364452">
        <w:lastRenderedPageBreak/>
        <w:t>Consolidated statement of changes in equity</w:t>
      </w:r>
    </w:p>
    <w:p w14:paraId="26B55A46" w14:textId="7050124A" w:rsidR="00B22F3C" w:rsidRPr="00C34AE4" w:rsidRDefault="00B22F3C" w:rsidP="00B626AD">
      <w:pPr>
        <w:pStyle w:val="Heading3"/>
      </w:pPr>
      <w:r w:rsidRPr="00C34AE4">
        <w:t>For the year ended 31 December 201</w:t>
      </w:r>
      <w:r w:rsidR="000360D9">
        <w:t>5</w:t>
      </w:r>
    </w:p>
    <w:tbl>
      <w:tblPr>
        <w:tblStyle w:val="TableGrid"/>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2552"/>
        <w:gridCol w:w="567"/>
        <w:gridCol w:w="988"/>
        <w:gridCol w:w="988"/>
        <w:gridCol w:w="989"/>
        <w:gridCol w:w="988"/>
        <w:gridCol w:w="988"/>
        <w:gridCol w:w="989"/>
      </w:tblGrid>
      <w:tr w:rsidR="006F03A1" w:rsidRPr="00716EDB" w14:paraId="495B3EEE" w14:textId="77777777" w:rsidTr="00A33418">
        <w:tc>
          <w:tcPr>
            <w:tcW w:w="2552" w:type="dxa"/>
            <w:tcBorders>
              <w:bottom w:val="single" w:sz="4" w:space="0" w:color="93B7BB"/>
            </w:tcBorders>
            <w:vAlign w:val="bottom"/>
          </w:tcPr>
          <w:p w14:paraId="7B36A7AD" w14:textId="77777777" w:rsidR="006F03A1" w:rsidRPr="00716EDB" w:rsidRDefault="006F03A1" w:rsidP="007819FB">
            <w:pPr>
              <w:pStyle w:val="Tableheading"/>
              <w:keepNext/>
              <w:keepLines/>
            </w:pPr>
            <w:r w:rsidRPr="00716EDB">
              <w:t>(£ million)</w:t>
            </w:r>
          </w:p>
        </w:tc>
        <w:tc>
          <w:tcPr>
            <w:tcW w:w="567" w:type="dxa"/>
            <w:tcBorders>
              <w:bottom w:val="single" w:sz="4" w:space="0" w:color="93B7BB"/>
            </w:tcBorders>
          </w:tcPr>
          <w:p w14:paraId="7ACB8384" w14:textId="77777777" w:rsidR="006F03A1" w:rsidRDefault="006F03A1" w:rsidP="007819FB">
            <w:pPr>
              <w:pStyle w:val="Tableheading"/>
              <w:keepNext/>
              <w:keepLines/>
              <w:jc w:val="right"/>
            </w:pPr>
          </w:p>
          <w:p w14:paraId="6C815FE7" w14:textId="77777777" w:rsidR="006F03A1" w:rsidRDefault="006F03A1" w:rsidP="007819FB">
            <w:pPr>
              <w:pStyle w:val="Tableheading"/>
              <w:keepNext/>
              <w:keepLines/>
              <w:jc w:val="right"/>
            </w:pPr>
            <w:r>
              <w:t>Notes</w:t>
            </w:r>
          </w:p>
        </w:tc>
        <w:tc>
          <w:tcPr>
            <w:tcW w:w="988" w:type="dxa"/>
            <w:tcBorders>
              <w:bottom w:val="single" w:sz="4" w:space="0" w:color="93B7BB"/>
            </w:tcBorders>
            <w:vAlign w:val="bottom"/>
          </w:tcPr>
          <w:p w14:paraId="3A4911FC" w14:textId="77777777" w:rsidR="006F03A1" w:rsidRDefault="006F03A1" w:rsidP="007819FB">
            <w:pPr>
              <w:pStyle w:val="Tableheading"/>
              <w:keepNext/>
              <w:keepLines/>
              <w:jc w:val="right"/>
            </w:pPr>
            <w:r>
              <w:t>Share</w:t>
            </w:r>
          </w:p>
          <w:p w14:paraId="2043CE22" w14:textId="77777777" w:rsidR="006F03A1" w:rsidRPr="00716EDB" w:rsidRDefault="006F03A1" w:rsidP="007819FB">
            <w:pPr>
              <w:pStyle w:val="Tableheading"/>
              <w:keepNext/>
              <w:keepLines/>
              <w:jc w:val="right"/>
            </w:pPr>
            <w:r w:rsidRPr="00716EDB">
              <w:t>capital</w:t>
            </w:r>
          </w:p>
        </w:tc>
        <w:tc>
          <w:tcPr>
            <w:tcW w:w="988" w:type="dxa"/>
            <w:tcBorders>
              <w:bottom w:val="single" w:sz="4" w:space="0" w:color="93B7BB"/>
            </w:tcBorders>
            <w:vAlign w:val="bottom"/>
          </w:tcPr>
          <w:p w14:paraId="6447C32B" w14:textId="77777777" w:rsidR="006F03A1" w:rsidRDefault="006F03A1" w:rsidP="007819FB">
            <w:pPr>
              <w:pStyle w:val="Tableheading"/>
              <w:keepNext/>
              <w:keepLines/>
              <w:jc w:val="right"/>
            </w:pPr>
            <w:r w:rsidRPr="00716EDB">
              <w:t>Share</w:t>
            </w:r>
          </w:p>
          <w:p w14:paraId="30173A24" w14:textId="77777777" w:rsidR="006F03A1" w:rsidRPr="00716EDB" w:rsidRDefault="006F03A1" w:rsidP="007819FB">
            <w:pPr>
              <w:pStyle w:val="Tableheading"/>
              <w:keepNext/>
              <w:keepLines/>
              <w:jc w:val="right"/>
            </w:pPr>
            <w:r w:rsidRPr="00716EDB">
              <w:t>premium</w:t>
            </w:r>
          </w:p>
        </w:tc>
        <w:tc>
          <w:tcPr>
            <w:tcW w:w="989" w:type="dxa"/>
            <w:tcBorders>
              <w:bottom w:val="single" w:sz="4" w:space="0" w:color="93B7BB"/>
            </w:tcBorders>
            <w:vAlign w:val="bottom"/>
          </w:tcPr>
          <w:p w14:paraId="061E31AD" w14:textId="77777777" w:rsidR="006F03A1" w:rsidRDefault="006F03A1" w:rsidP="007819FB">
            <w:pPr>
              <w:pStyle w:val="Tableheading"/>
              <w:keepNext/>
              <w:keepLines/>
              <w:jc w:val="right"/>
            </w:pPr>
            <w:r>
              <w:t>Capital</w:t>
            </w:r>
          </w:p>
          <w:p w14:paraId="4F646EF9" w14:textId="77777777" w:rsidR="006F03A1" w:rsidRPr="00716EDB" w:rsidRDefault="006F03A1" w:rsidP="007819FB">
            <w:pPr>
              <w:pStyle w:val="Tableheading"/>
              <w:keepNext/>
              <w:keepLines/>
              <w:jc w:val="right"/>
            </w:pPr>
            <w:r w:rsidRPr="00716EDB">
              <w:t>reserves</w:t>
            </w:r>
          </w:p>
        </w:tc>
        <w:tc>
          <w:tcPr>
            <w:tcW w:w="988" w:type="dxa"/>
            <w:tcBorders>
              <w:bottom w:val="single" w:sz="4" w:space="0" w:color="93B7BB"/>
            </w:tcBorders>
            <w:vAlign w:val="bottom"/>
          </w:tcPr>
          <w:p w14:paraId="2D28AF93" w14:textId="77777777" w:rsidR="00514B40" w:rsidRDefault="006F03A1" w:rsidP="007819FB">
            <w:pPr>
              <w:pStyle w:val="Tableheading"/>
              <w:keepNext/>
              <w:keepLines/>
              <w:jc w:val="right"/>
            </w:pPr>
            <w:r>
              <w:t>Treasury</w:t>
            </w:r>
          </w:p>
          <w:p w14:paraId="5B0217FA" w14:textId="33F2F8B2" w:rsidR="006F03A1" w:rsidRDefault="006F03A1" w:rsidP="007819FB">
            <w:pPr>
              <w:pStyle w:val="Tableheading"/>
              <w:keepNext/>
              <w:keepLines/>
              <w:jc w:val="right"/>
            </w:pPr>
            <w:r>
              <w:t>share</w:t>
            </w:r>
          </w:p>
          <w:p w14:paraId="7A5EC3A2" w14:textId="77777777" w:rsidR="006F03A1" w:rsidRPr="00716EDB" w:rsidRDefault="006F03A1" w:rsidP="007819FB">
            <w:pPr>
              <w:pStyle w:val="Tableheading"/>
              <w:keepNext/>
              <w:keepLines/>
              <w:jc w:val="right"/>
            </w:pPr>
            <w:r>
              <w:t>reserves</w:t>
            </w:r>
          </w:p>
        </w:tc>
        <w:tc>
          <w:tcPr>
            <w:tcW w:w="988" w:type="dxa"/>
            <w:tcBorders>
              <w:bottom w:val="single" w:sz="4" w:space="0" w:color="93B7BB"/>
            </w:tcBorders>
            <w:vAlign w:val="bottom"/>
          </w:tcPr>
          <w:p w14:paraId="20841AAF" w14:textId="77777777" w:rsidR="006F03A1" w:rsidRDefault="006F03A1" w:rsidP="007819FB">
            <w:pPr>
              <w:pStyle w:val="Tableheading"/>
              <w:keepNext/>
              <w:keepLines/>
              <w:jc w:val="right"/>
            </w:pPr>
            <w:r w:rsidRPr="00716EDB">
              <w:t>Retained</w:t>
            </w:r>
          </w:p>
          <w:p w14:paraId="070076BB" w14:textId="77777777" w:rsidR="006F03A1" w:rsidRPr="00716EDB" w:rsidRDefault="006F03A1" w:rsidP="007819FB">
            <w:pPr>
              <w:pStyle w:val="Tableheading"/>
              <w:keepNext/>
              <w:keepLines/>
              <w:jc w:val="right"/>
            </w:pPr>
            <w:r w:rsidRPr="00716EDB">
              <w:t>earnings</w:t>
            </w:r>
          </w:p>
        </w:tc>
        <w:tc>
          <w:tcPr>
            <w:tcW w:w="989" w:type="dxa"/>
            <w:tcBorders>
              <w:bottom w:val="single" w:sz="4" w:space="0" w:color="93B7BB"/>
            </w:tcBorders>
            <w:vAlign w:val="bottom"/>
          </w:tcPr>
          <w:p w14:paraId="37D79E87" w14:textId="77777777" w:rsidR="006F03A1" w:rsidRDefault="006F03A1" w:rsidP="007819FB">
            <w:pPr>
              <w:pStyle w:val="Tableheading"/>
              <w:keepNext/>
              <w:keepLines/>
              <w:jc w:val="right"/>
            </w:pPr>
            <w:r>
              <w:t>Total</w:t>
            </w:r>
          </w:p>
          <w:p w14:paraId="65E97C87" w14:textId="77777777" w:rsidR="006F03A1" w:rsidRPr="00716EDB" w:rsidRDefault="006F03A1" w:rsidP="007819FB">
            <w:pPr>
              <w:pStyle w:val="Tableheading"/>
              <w:keepNext/>
              <w:keepLines/>
              <w:jc w:val="right"/>
            </w:pPr>
            <w:r w:rsidRPr="00716EDB">
              <w:t>equity</w:t>
            </w:r>
          </w:p>
        </w:tc>
      </w:tr>
      <w:tr w:rsidR="006F03A1" w:rsidRPr="004B1601" w14:paraId="2BA4DDAB" w14:textId="77777777" w:rsidTr="00A33418">
        <w:tc>
          <w:tcPr>
            <w:tcW w:w="2552" w:type="dxa"/>
            <w:tcBorders>
              <w:top w:val="single" w:sz="4" w:space="0" w:color="93B7BB"/>
            </w:tcBorders>
            <w:vAlign w:val="center"/>
          </w:tcPr>
          <w:p w14:paraId="4C89FBEA" w14:textId="77777777" w:rsidR="006F03A1" w:rsidRPr="004B1601" w:rsidRDefault="006F03A1" w:rsidP="007819FB">
            <w:pPr>
              <w:pStyle w:val="Tabletext"/>
              <w:keepNext/>
              <w:keepLines/>
            </w:pPr>
            <w:r w:rsidRPr="004B1601">
              <w:rPr>
                <w:lang w:val="en-US" w:eastAsia="nl-NL"/>
              </w:rPr>
              <w:t>As at 1 January 2014</w:t>
            </w:r>
            <w:r>
              <w:rPr>
                <w:lang w:val="en-US" w:eastAsia="nl-NL"/>
              </w:rPr>
              <w:t xml:space="preserve"> as previously reported</w:t>
            </w:r>
          </w:p>
        </w:tc>
        <w:tc>
          <w:tcPr>
            <w:tcW w:w="567" w:type="dxa"/>
            <w:tcBorders>
              <w:top w:val="single" w:sz="4" w:space="0" w:color="93B7BB"/>
            </w:tcBorders>
          </w:tcPr>
          <w:p w14:paraId="64921679" w14:textId="77777777" w:rsidR="006F03A1" w:rsidRPr="004B1601" w:rsidRDefault="006F03A1" w:rsidP="007819FB">
            <w:pPr>
              <w:pStyle w:val="Tabletext"/>
              <w:keepNext/>
              <w:keepLines/>
              <w:jc w:val="right"/>
            </w:pPr>
          </w:p>
        </w:tc>
        <w:tc>
          <w:tcPr>
            <w:tcW w:w="988" w:type="dxa"/>
            <w:tcBorders>
              <w:top w:val="single" w:sz="4" w:space="0" w:color="93B7BB"/>
            </w:tcBorders>
            <w:vAlign w:val="bottom"/>
          </w:tcPr>
          <w:p w14:paraId="53751153" w14:textId="77777777" w:rsidR="006F03A1" w:rsidRPr="004B1601" w:rsidRDefault="006F03A1" w:rsidP="007819FB">
            <w:pPr>
              <w:pStyle w:val="Tabletext"/>
              <w:keepNext/>
              <w:keepLines/>
              <w:jc w:val="right"/>
            </w:pPr>
            <w:r w:rsidRPr="004B1601">
              <w:t>–</w:t>
            </w:r>
          </w:p>
        </w:tc>
        <w:tc>
          <w:tcPr>
            <w:tcW w:w="988" w:type="dxa"/>
            <w:tcBorders>
              <w:top w:val="single" w:sz="4" w:space="0" w:color="93B7BB"/>
            </w:tcBorders>
            <w:vAlign w:val="bottom"/>
          </w:tcPr>
          <w:p w14:paraId="4D26702C" w14:textId="77777777" w:rsidR="006F03A1" w:rsidRPr="004B1601" w:rsidRDefault="006F03A1" w:rsidP="007819FB">
            <w:pPr>
              <w:pStyle w:val="Tabletext"/>
              <w:keepNext/>
              <w:keepLines/>
              <w:jc w:val="right"/>
            </w:pPr>
            <w:r w:rsidRPr="004B1601">
              <w:t>–</w:t>
            </w:r>
          </w:p>
        </w:tc>
        <w:tc>
          <w:tcPr>
            <w:tcW w:w="989" w:type="dxa"/>
            <w:tcBorders>
              <w:top w:val="single" w:sz="4" w:space="0" w:color="93B7BB"/>
            </w:tcBorders>
            <w:vAlign w:val="bottom"/>
          </w:tcPr>
          <w:p w14:paraId="56AA2BB6" w14:textId="77777777" w:rsidR="006F03A1" w:rsidRPr="004B1601" w:rsidRDefault="006F03A1" w:rsidP="007819FB">
            <w:pPr>
              <w:pStyle w:val="Tabletext"/>
              <w:keepNext/>
              <w:keepLines/>
              <w:jc w:val="right"/>
            </w:pPr>
            <w:r w:rsidRPr="004B1601">
              <w:t>–</w:t>
            </w:r>
          </w:p>
        </w:tc>
        <w:tc>
          <w:tcPr>
            <w:tcW w:w="988" w:type="dxa"/>
            <w:tcBorders>
              <w:top w:val="single" w:sz="4" w:space="0" w:color="93B7BB"/>
            </w:tcBorders>
            <w:vAlign w:val="bottom"/>
          </w:tcPr>
          <w:p w14:paraId="595BDC40" w14:textId="77777777" w:rsidR="006F03A1" w:rsidRPr="004B1601" w:rsidRDefault="006F03A1" w:rsidP="007819FB">
            <w:pPr>
              <w:pStyle w:val="Tabletext"/>
              <w:keepNext/>
              <w:keepLines/>
              <w:jc w:val="right"/>
            </w:pPr>
            <w:r w:rsidRPr="004B1601">
              <w:t>–</w:t>
            </w:r>
          </w:p>
        </w:tc>
        <w:tc>
          <w:tcPr>
            <w:tcW w:w="988" w:type="dxa"/>
            <w:tcBorders>
              <w:top w:val="single" w:sz="4" w:space="0" w:color="93B7BB"/>
            </w:tcBorders>
            <w:vAlign w:val="bottom"/>
          </w:tcPr>
          <w:p w14:paraId="341D7C1C" w14:textId="77777777" w:rsidR="006F03A1" w:rsidRPr="004B1601" w:rsidRDefault="006F03A1" w:rsidP="007819FB">
            <w:pPr>
              <w:pStyle w:val="Tabletext"/>
              <w:keepNext/>
              <w:keepLines/>
              <w:jc w:val="right"/>
            </w:pPr>
            <w:r w:rsidRPr="004B1601">
              <w:t>(256.2)</w:t>
            </w:r>
          </w:p>
        </w:tc>
        <w:tc>
          <w:tcPr>
            <w:tcW w:w="989" w:type="dxa"/>
            <w:tcBorders>
              <w:top w:val="single" w:sz="4" w:space="0" w:color="93B7BB"/>
            </w:tcBorders>
            <w:vAlign w:val="bottom"/>
          </w:tcPr>
          <w:p w14:paraId="6A2F177C" w14:textId="77777777" w:rsidR="006F03A1" w:rsidRPr="004B1601" w:rsidRDefault="006F03A1" w:rsidP="007819FB">
            <w:pPr>
              <w:pStyle w:val="Tabletext"/>
              <w:keepNext/>
              <w:keepLines/>
              <w:jc w:val="right"/>
            </w:pPr>
            <w:r w:rsidRPr="004B1601">
              <w:t>(256.2)</w:t>
            </w:r>
          </w:p>
        </w:tc>
      </w:tr>
      <w:tr w:rsidR="006F03A1" w:rsidRPr="004B1601" w14:paraId="6D344E2D" w14:textId="77777777" w:rsidTr="00A33418">
        <w:tc>
          <w:tcPr>
            <w:tcW w:w="2552" w:type="dxa"/>
            <w:tcBorders>
              <w:bottom w:val="single" w:sz="4" w:space="0" w:color="93B7BB"/>
            </w:tcBorders>
            <w:vAlign w:val="center"/>
          </w:tcPr>
          <w:p w14:paraId="6ED8B8FE" w14:textId="4D707DE2" w:rsidR="006F03A1" w:rsidRPr="004B1601" w:rsidRDefault="006F03A1" w:rsidP="00F97892">
            <w:pPr>
              <w:pStyle w:val="Tabletext"/>
              <w:keepNext/>
              <w:keepLines/>
              <w:rPr>
                <w:lang w:val="en-US" w:eastAsia="nl-NL"/>
              </w:rPr>
            </w:pPr>
            <w:r>
              <w:rPr>
                <w:lang w:val="en-US" w:eastAsia="nl-NL"/>
              </w:rPr>
              <w:t xml:space="preserve">Restatement (note </w:t>
            </w:r>
            <w:r w:rsidR="00F97892" w:rsidRPr="00F97892">
              <w:rPr>
                <w:lang w:val="en-US" w:eastAsia="nl-NL"/>
              </w:rPr>
              <w:t>14</w:t>
            </w:r>
            <w:r>
              <w:rPr>
                <w:lang w:val="en-US" w:eastAsia="nl-NL"/>
              </w:rPr>
              <w:t>)</w:t>
            </w:r>
          </w:p>
        </w:tc>
        <w:tc>
          <w:tcPr>
            <w:tcW w:w="567" w:type="dxa"/>
            <w:tcBorders>
              <w:bottom w:val="single" w:sz="4" w:space="0" w:color="93B7BB"/>
            </w:tcBorders>
          </w:tcPr>
          <w:p w14:paraId="0B3DDA3E" w14:textId="77777777" w:rsidR="006F03A1" w:rsidRPr="004B1601" w:rsidRDefault="006F03A1" w:rsidP="007819FB">
            <w:pPr>
              <w:pStyle w:val="Tabletext"/>
              <w:keepNext/>
              <w:keepLines/>
              <w:jc w:val="right"/>
            </w:pPr>
          </w:p>
        </w:tc>
        <w:tc>
          <w:tcPr>
            <w:tcW w:w="988" w:type="dxa"/>
            <w:tcBorders>
              <w:bottom w:val="single" w:sz="4" w:space="0" w:color="93B7BB"/>
            </w:tcBorders>
            <w:vAlign w:val="bottom"/>
          </w:tcPr>
          <w:p w14:paraId="5EEA3AA3" w14:textId="77777777" w:rsidR="006F03A1" w:rsidRPr="004B1601" w:rsidRDefault="006F03A1" w:rsidP="007819FB">
            <w:pPr>
              <w:pStyle w:val="Tabletext"/>
              <w:keepNext/>
              <w:keepLines/>
              <w:jc w:val="right"/>
            </w:pPr>
            <w:r w:rsidRPr="004B1601">
              <w:t>–</w:t>
            </w:r>
          </w:p>
        </w:tc>
        <w:tc>
          <w:tcPr>
            <w:tcW w:w="988" w:type="dxa"/>
            <w:tcBorders>
              <w:bottom w:val="single" w:sz="4" w:space="0" w:color="93B7BB"/>
            </w:tcBorders>
            <w:vAlign w:val="bottom"/>
          </w:tcPr>
          <w:p w14:paraId="5AD86F4E" w14:textId="77777777" w:rsidR="006F03A1" w:rsidRPr="004B1601" w:rsidRDefault="006F03A1" w:rsidP="007819FB">
            <w:pPr>
              <w:pStyle w:val="Tabletext"/>
              <w:keepNext/>
              <w:keepLines/>
              <w:jc w:val="right"/>
            </w:pPr>
            <w:r w:rsidRPr="004B1601">
              <w:t>–</w:t>
            </w:r>
          </w:p>
        </w:tc>
        <w:tc>
          <w:tcPr>
            <w:tcW w:w="989" w:type="dxa"/>
            <w:tcBorders>
              <w:bottom w:val="single" w:sz="4" w:space="0" w:color="93B7BB"/>
            </w:tcBorders>
            <w:vAlign w:val="bottom"/>
          </w:tcPr>
          <w:p w14:paraId="3C32F959" w14:textId="77777777" w:rsidR="006F03A1" w:rsidRPr="004B1601" w:rsidRDefault="006F03A1" w:rsidP="007819FB">
            <w:pPr>
              <w:pStyle w:val="Tabletext"/>
              <w:keepNext/>
              <w:keepLines/>
              <w:jc w:val="right"/>
            </w:pPr>
            <w:r w:rsidRPr="004B1601">
              <w:t>–</w:t>
            </w:r>
          </w:p>
        </w:tc>
        <w:tc>
          <w:tcPr>
            <w:tcW w:w="988" w:type="dxa"/>
            <w:tcBorders>
              <w:bottom w:val="single" w:sz="4" w:space="0" w:color="93B7BB"/>
            </w:tcBorders>
            <w:vAlign w:val="bottom"/>
          </w:tcPr>
          <w:p w14:paraId="0A94A866" w14:textId="77777777" w:rsidR="006F03A1" w:rsidRPr="004B1601" w:rsidRDefault="006F03A1" w:rsidP="007819FB">
            <w:pPr>
              <w:pStyle w:val="Tabletext"/>
              <w:keepNext/>
              <w:keepLines/>
              <w:jc w:val="right"/>
            </w:pPr>
            <w:r w:rsidRPr="004B1601">
              <w:t>–</w:t>
            </w:r>
          </w:p>
        </w:tc>
        <w:tc>
          <w:tcPr>
            <w:tcW w:w="988" w:type="dxa"/>
            <w:tcBorders>
              <w:bottom w:val="single" w:sz="4" w:space="0" w:color="93B7BB"/>
            </w:tcBorders>
            <w:vAlign w:val="bottom"/>
          </w:tcPr>
          <w:p w14:paraId="040CF519" w14:textId="77777777" w:rsidR="006F03A1" w:rsidRPr="004B1601" w:rsidRDefault="006F03A1" w:rsidP="007819FB">
            <w:pPr>
              <w:pStyle w:val="Tabletext"/>
              <w:keepNext/>
              <w:keepLines/>
              <w:jc w:val="right"/>
            </w:pPr>
            <w:r>
              <w:t>(5.0)</w:t>
            </w:r>
          </w:p>
        </w:tc>
        <w:tc>
          <w:tcPr>
            <w:tcW w:w="989" w:type="dxa"/>
            <w:tcBorders>
              <w:bottom w:val="single" w:sz="4" w:space="0" w:color="93B7BB"/>
            </w:tcBorders>
            <w:vAlign w:val="bottom"/>
          </w:tcPr>
          <w:p w14:paraId="002381B9" w14:textId="77777777" w:rsidR="006F03A1" w:rsidRPr="004B1601" w:rsidRDefault="006F03A1" w:rsidP="007819FB">
            <w:pPr>
              <w:pStyle w:val="Tabletext"/>
              <w:keepNext/>
              <w:keepLines/>
              <w:jc w:val="right"/>
            </w:pPr>
            <w:r>
              <w:t>(5.0)</w:t>
            </w:r>
          </w:p>
        </w:tc>
      </w:tr>
      <w:tr w:rsidR="006F03A1" w:rsidRPr="006F03A1" w14:paraId="2470D4E3" w14:textId="77777777" w:rsidTr="00A33418">
        <w:tc>
          <w:tcPr>
            <w:tcW w:w="2552" w:type="dxa"/>
            <w:tcBorders>
              <w:top w:val="single" w:sz="4" w:space="0" w:color="93B7BB"/>
            </w:tcBorders>
            <w:vAlign w:val="center"/>
          </w:tcPr>
          <w:p w14:paraId="0AA8087E" w14:textId="77777777" w:rsidR="006F03A1" w:rsidRPr="006F03A1" w:rsidRDefault="006F03A1" w:rsidP="007819FB">
            <w:pPr>
              <w:pStyle w:val="Tabletext"/>
              <w:keepNext/>
              <w:keepLines/>
              <w:rPr>
                <w:b/>
                <w:lang w:val="en-US" w:eastAsia="nl-NL"/>
              </w:rPr>
            </w:pPr>
            <w:r w:rsidRPr="006F03A1">
              <w:rPr>
                <w:b/>
                <w:lang w:val="en-US" w:eastAsia="nl-NL"/>
              </w:rPr>
              <w:t>As at 1 January 2014 as restated</w:t>
            </w:r>
          </w:p>
        </w:tc>
        <w:tc>
          <w:tcPr>
            <w:tcW w:w="567" w:type="dxa"/>
            <w:tcBorders>
              <w:top w:val="single" w:sz="4" w:space="0" w:color="93B7BB"/>
            </w:tcBorders>
          </w:tcPr>
          <w:p w14:paraId="6B5A7A1A" w14:textId="77777777" w:rsidR="006F03A1" w:rsidRPr="006F03A1" w:rsidRDefault="006F03A1" w:rsidP="007819FB">
            <w:pPr>
              <w:pStyle w:val="Tabletext"/>
              <w:keepNext/>
              <w:keepLines/>
              <w:jc w:val="right"/>
              <w:rPr>
                <w:b/>
              </w:rPr>
            </w:pPr>
          </w:p>
        </w:tc>
        <w:tc>
          <w:tcPr>
            <w:tcW w:w="988" w:type="dxa"/>
            <w:tcBorders>
              <w:top w:val="single" w:sz="4" w:space="0" w:color="93B7BB"/>
            </w:tcBorders>
            <w:vAlign w:val="bottom"/>
          </w:tcPr>
          <w:p w14:paraId="090B175B" w14:textId="77777777" w:rsidR="006F03A1" w:rsidRPr="006F03A1" w:rsidRDefault="006F03A1" w:rsidP="007819FB">
            <w:pPr>
              <w:pStyle w:val="Tabletext"/>
              <w:keepNext/>
              <w:keepLines/>
              <w:jc w:val="right"/>
              <w:rPr>
                <w:b/>
              </w:rPr>
            </w:pPr>
            <w:r w:rsidRPr="006F03A1">
              <w:rPr>
                <w:b/>
              </w:rPr>
              <w:t>–</w:t>
            </w:r>
          </w:p>
        </w:tc>
        <w:tc>
          <w:tcPr>
            <w:tcW w:w="988" w:type="dxa"/>
            <w:tcBorders>
              <w:top w:val="single" w:sz="4" w:space="0" w:color="93B7BB"/>
            </w:tcBorders>
            <w:vAlign w:val="bottom"/>
          </w:tcPr>
          <w:p w14:paraId="098BC4B8" w14:textId="77777777" w:rsidR="006F03A1" w:rsidRPr="006F03A1" w:rsidRDefault="006F03A1" w:rsidP="007819FB">
            <w:pPr>
              <w:pStyle w:val="Tabletext"/>
              <w:keepNext/>
              <w:keepLines/>
              <w:jc w:val="right"/>
              <w:rPr>
                <w:b/>
              </w:rPr>
            </w:pPr>
            <w:r w:rsidRPr="006F03A1">
              <w:rPr>
                <w:b/>
              </w:rPr>
              <w:t>–</w:t>
            </w:r>
          </w:p>
        </w:tc>
        <w:tc>
          <w:tcPr>
            <w:tcW w:w="989" w:type="dxa"/>
            <w:tcBorders>
              <w:top w:val="single" w:sz="4" w:space="0" w:color="93B7BB"/>
            </w:tcBorders>
            <w:vAlign w:val="bottom"/>
          </w:tcPr>
          <w:p w14:paraId="52068555" w14:textId="77777777" w:rsidR="006F03A1" w:rsidRPr="006F03A1" w:rsidRDefault="006F03A1" w:rsidP="007819FB">
            <w:pPr>
              <w:pStyle w:val="Tabletext"/>
              <w:keepNext/>
              <w:keepLines/>
              <w:jc w:val="right"/>
              <w:rPr>
                <w:b/>
              </w:rPr>
            </w:pPr>
            <w:r w:rsidRPr="006F03A1">
              <w:rPr>
                <w:b/>
              </w:rPr>
              <w:t>–</w:t>
            </w:r>
          </w:p>
        </w:tc>
        <w:tc>
          <w:tcPr>
            <w:tcW w:w="988" w:type="dxa"/>
            <w:tcBorders>
              <w:top w:val="single" w:sz="4" w:space="0" w:color="93B7BB"/>
            </w:tcBorders>
            <w:vAlign w:val="bottom"/>
          </w:tcPr>
          <w:p w14:paraId="5F35FA73" w14:textId="77777777" w:rsidR="006F03A1" w:rsidRPr="006F03A1" w:rsidRDefault="006F03A1" w:rsidP="007819FB">
            <w:pPr>
              <w:pStyle w:val="Tabletext"/>
              <w:keepNext/>
              <w:keepLines/>
              <w:jc w:val="right"/>
              <w:rPr>
                <w:b/>
              </w:rPr>
            </w:pPr>
            <w:r w:rsidRPr="006F03A1">
              <w:rPr>
                <w:b/>
              </w:rPr>
              <w:t>–</w:t>
            </w:r>
          </w:p>
        </w:tc>
        <w:tc>
          <w:tcPr>
            <w:tcW w:w="988" w:type="dxa"/>
            <w:tcBorders>
              <w:top w:val="single" w:sz="4" w:space="0" w:color="93B7BB"/>
            </w:tcBorders>
            <w:vAlign w:val="bottom"/>
          </w:tcPr>
          <w:p w14:paraId="34D5EF2F" w14:textId="77777777" w:rsidR="006F03A1" w:rsidRPr="006F03A1" w:rsidRDefault="006F03A1" w:rsidP="007819FB">
            <w:pPr>
              <w:pStyle w:val="Tabletext"/>
              <w:keepNext/>
              <w:keepLines/>
              <w:jc w:val="right"/>
              <w:rPr>
                <w:b/>
              </w:rPr>
            </w:pPr>
            <w:r w:rsidRPr="006F03A1">
              <w:rPr>
                <w:b/>
              </w:rPr>
              <w:t>(261.2)</w:t>
            </w:r>
          </w:p>
        </w:tc>
        <w:tc>
          <w:tcPr>
            <w:tcW w:w="989" w:type="dxa"/>
            <w:tcBorders>
              <w:top w:val="single" w:sz="4" w:space="0" w:color="93B7BB"/>
            </w:tcBorders>
            <w:vAlign w:val="bottom"/>
          </w:tcPr>
          <w:p w14:paraId="0E45BD03" w14:textId="77777777" w:rsidR="006F03A1" w:rsidRPr="006F03A1" w:rsidRDefault="006F03A1" w:rsidP="007819FB">
            <w:pPr>
              <w:pStyle w:val="Tabletext"/>
              <w:keepNext/>
              <w:keepLines/>
              <w:jc w:val="right"/>
              <w:rPr>
                <w:b/>
              </w:rPr>
            </w:pPr>
            <w:r w:rsidRPr="006F03A1">
              <w:rPr>
                <w:b/>
              </w:rPr>
              <w:t>(261.2)</w:t>
            </w:r>
          </w:p>
        </w:tc>
      </w:tr>
      <w:tr w:rsidR="006F03A1" w:rsidRPr="004B1601" w14:paraId="4636E510" w14:textId="77777777" w:rsidTr="00C85A27">
        <w:tc>
          <w:tcPr>
            <w:tcW w:w="2552" w:type="dxa"/>
            <w:vAlign w:val="center"/>
          </w:tcPr>
          <w:p w14:paraId="17A3D62B" w14:textId="56C2168E" w:rsidR="006F03A1" w:rsidRPr="004B1601" w:rsidRDefault="00C85A27" w:rsidP="007819FB">
            <w:pPr>
              <w:pStyle w:val="Tabletext"/>
              <w:keepNext/>
              <w:keepLines/>
            </w:pPr>
            <w:r>
              <w:rPr>
                <w:lang w:val="en-US" w:eastAsia="nl-NL"/>
              </w:rPr>
              <w:t>Profit for the year</w:t>
            </w:r>
            <w:r w:rsidR="006F03A1" w:rsidRPr="004B1601">
              <w:rPr>
                <w:lang w:val="en-US" w:eastAsia="nl-NL"/>
              </w:rPr>
              <w:t xml:space="preserve"> </w:t>
            </w:r>
          </w:p>
        </w:tc>
        <w:tc>
          <w:tcPr>
            <w:tcW w:w="567" w:type="dxa"/>
          </w:tcPr>
          <w:p w14:paraId="035BF0F6" w14:textId="77777777" w:rsidR="006F03A1" w:rsidRPr="004B1601" w:rsidRDefault="006F03A1" w:rsidP="007819FB">
            <w:pPr>
              <w:pStyle w:val="Tabletext"/>
              <w:keepNext/>
              <w:keepLines/>
              <w:jc w:val="right"/>
            </w:pPr>
          </w:p>
        </w:tc>
        <w:tc>
          <w:tcPr>
            <w:tcW w:w="988" w:type="dxa"/>
            <w:vAlign w:val="bottom"/>
          </w:tcPr>
          <w:p w14:paraId="7937CFD3" w14:textId="77777777" w:rsidR="006F03A1" w:rsidRPr="004B1601" w:rsidRDefault="006F03A1" w:rsidP="007819FB">
            <w:pPr>
              <w:pStyle w:val="Tabletext"/>
              <w:keepNext/>
              <w:keepLines/>
              <w:jc w:val="right"/>
            </w:pPr>
            <w:r w:rsidRPr="004B1601">
              <w:t>–</w:t>
            </w:r>
          </w:p>
        </w:tc>
        <w:tc>
          <w:tcPr>
            <w:tcW w:w="988" w:type="dxa"/>
            <w:vAlign w:val="bottom"/>
          </w:tcPr>
          <w:p w14:paraId="6D2CD646" w14:textId="77777777" w:rsidR="006F03A1" w:rsidRPr="004B1601" w:rsidRDefault="006F03A1" w:rsidP="007819FB">
            <w:pPr>
              <w:pStyle w:val="Tabletext"/>
              <w:keepNext/>
              <w:keepLines/>
              <w:jc w:val="right"/>
            </w:pPr>
            <w:r w:rsidRPr="004B1601">
              <w:t>–</w:t>
            </w:r>
          </w:p>
        </w:tc>
        <w:tc>
          <w:tcPr>
            <w:tcW w:w="989" w:type="dxa"/>
            <w:vAlign w:val="bottom"/>
          </w:tcPr>
          <w:p w14:paraId="6C2528BF" w14:textId="77777777" w:rsidR="006F03A1" w:rsidRPr="004B1601" w:rsidRDefault="006F03A1" w:rsidP="007819FB">
            <w:pPr>
              <w:pStyle w:val="Tabletext"/>
              <w:keepNext/>
              <w:keepLines/>
              <w:jc w:val="right"/>
            </w:pPr>
            <w:r w:rsidRPr="004B1601">
              <w:t>–</w:t>
            </w:r>
          </w:p>
        </w:tc>
        <w:tc>
          <w:tcPr>
            <w:tcW w:w="988" w:type="dxa"/>
            <w:vAlign w:val="bottom"/>
          </w:tcPr>
          <w:p w14:paraId="68992830" w14:textId="77777777" w:rsidR="006F03A1" w:rsidRPr="004B1601" w:rsidRDefault="006F03A1" w:rsidP="007819FB">
            <w:pPr>
              <w:pStyle w:val="Tabletext"/>
              <w:keepNext/>
              <w:keepLines/>
              <w:jc w:val="right"/>
            </w:pPr>
            <w:r w:rsidRPr="004B1601">
              <w:t>–</w:t>
            </w:r>
          </w:p>
        </w:tc>
        <w:tc>
          <w:tcPr>
            <w:tcW w:w="988" w:type="dxa"/>
            <w:vAlign w:val="bottom"/>
          </w:tcPr>
          <w:p w14:paraId="56A79C91" w14:textId="3BBADC3F" w:rsidR="006F03A1" w:rsidRPr="004B1601" w:rsidRDefault="006F03A1" w:rsidP="007819FB">
            <w:pPr>
              <w:pStyle w:val="Tabletext"/>
              <w:keepNext/>
              <w:keepLines/>
              <w:jc w:val="right"/>
            </w:pPr>
            <w:r w:rsidRPr="00716EDB">
              <w:t>6.0</w:t>
            </w:r>
          </w:p>
        </w:tc>
        <w:tc>
          <w:tcPr>
            <w:tcW w:w="989" w:type="dxa"/>
            <w:vAlign w:val="bottom"/>
          </w:tcPr>
          <w:p w14:paraId="772E4C6D" w14:textId="3CB9EDC3" w:rsidR="006F03A1" w:rsidRPr="004B1601" w:rsidRDefault="006F03A1" w:rsidP="007819FB">
            <w:pPr>
              <w:pStyle w:val="Tabletext"/>
              <w:keepNext/>
              <w:keepLines/>
              <w:jc w:val="right"/>
            </w:pPr>
            <w:r w:rsidRPr="00716EDB">
              <w:t>6.0</w:t>
            </w:r>
          </w:p>
        </w:tc>
      </w:tr>
      <w:tr w:rsidR="006F03A1" w:rsidRPr="004B1601" w14:paraId="7FEB3742" w14:textId="77777777" w:rsidTr="00C85A27">
        <w:tc>
          <w:tcPr>
            <w:tcW w:w="2552" w:type="dxa"/>
            <w:vAlign w:val="center"/>
          </w:tcPr>
          <w:p w14:paraId="42FE6D34" w14:textId="6EE8330E" w:rsidR="006F03A1" w:rsidRPr="004B1601" w:rsidRDefault="00C85A27" w:rsidP="007819FB">
            <w:pPr>
              <w:pStyle w:val="Tabletext"/>
              <w:keepNext/>
              <w:keepLines/>
            </w:pPr>
            <w:r>
              <w:rPr>
                <w:lang w:val="en-US" w:eastAsia="nl-NL"/>
              </w:rPr>
              <w:t xml:space="preserve">Other </w:t>
            </w:r>
            <w:r w:rsidR="006F03A1" w:rsidRPr="004B1601">
              <w:rPr>
                <w:lang w:val="en-US" w:eastAsia="nl-NL"/>
              </w:rPr>
              <w:t>comprehensive income</w:t>
            </w:r>
            <w:r>
              <w:rPr>
                <w:lang w:val="en-US" w:eastAsia="nl-NL"/>
              </w:rPr>
              <w:t xml:space="preserve"> for the year</w:t>
            </w:r>
          </w:p>
        </w:tc>
        <w:tc>
          <w:tcPr>
            <w:tcW w:w="567" w:type="dxa"/>
          </w:tcPr>
          <w:p w14:paraId="35B04E4A" w14:textId="77777777" w:rsidR="006F03A1" w:rsidRPr="004B1601" w:rsidRDefault="006F03A1" w:rsidP="007819FB">
            <w:pPr>
              <w:pStyle w:val="Tabletext"/>
              <w:keepNext/>
              <w:keepLines/>
              <w:jc w:val="right"/>
            </w:pPr>
          </w:p>
        </w:tc>
        <w:tc>
          <w:tcPr>
            <w:tcW w:w="988" w:type="dxa"/>
            <w:vAlign w:val="bottom"/>
          </w:tcPr>
          <w:p w14:paraId="47B84406" w14:textId="77777777" w:rsidR="006F03A1" w:rsidRPr="004B1601" w:rsidRDefault="006F03A1" w:rsidP="007819FB">
            <w:pPr>
              <w:pStyle w:val="Tabletext"/>
              <w:keepNext/>
              <w:keepLines/>
              <w:jc w:val="right"/>
            </w:pPr>
            <w:r w:rsidRPr="004B1601">
              <w:t>–</w:t>
            </w:r>
          </w:p>
        </w:tc>
        <w:tc>
          <w:tcPr>
            <w:tcW w:w="988" w:type="dxa"/>
            <w:vAlign w:val="bottom"/>
          </w:tcPr>
          <w:p w14:paraId="03167D8A" w14:textId="77777777" w:rsidR="006F03A1" w:rsidRPr="004B1601" w:rsidRDefault="006F03A1" w:rsidP="007819FB">
            <w:pPr>
              <w:pStyle w:val="Tabletext"/>
              <w:keepNext/>
              <w:keepLines/>
              <w:jc w:val="right"/>
            </w:pPr>
            <w:r w:rsidRPr="004B1601">
              <w:t>–</w:t>
            </w:r>
          </w:p>
        </w:tc>
        <w:tc>
          <w:tcPr>
            <w:tcW w:w="989" w:type="dxa"/>
            <w:vAlign w:val="bottom"/>
          </w:tcPr>
          <w:p w14:paraId="10DAC511" w14:textId="77777777" w:rsidR="006F03A1" w:rsidRPr="004B1601" w:rsidRDefault="006F03A1" w:rsidP="007819FB">
            <w:pPr>
              <w:pStyle w:val="Tabletext"/>
              <w:keepNext/>
              <w:keepLines/>
              <w:jc w:val="right"/>
            </w:pPr>
            <w:r w:rsidRPr="004B1601">
              <w:t>–</w:t>
            </w:r>
          </w:p>
        </w:tc>
        <w:tc>
          <w:tcPr>
            <w:tcW w:w="988" w:type="dxa"/>
            <w:vAlign w:val="bottom"/>
          </w:tcPr>
          <w:p w14:paraId="33C6DDEB" w14:textId="77777777" w:rsidR="006F03A1" w:rsidRPr="004B1601" w:rsidRDefault="006F03A1" w:rsidP="007819FB">
            <w:pPr>
              <w:pStyle w:val="Tabletext"/>
              <w:keepNext/>
              <w:keepLines/>
              <w:jc w:val="right"/>
            </w:pPr>
            <w:r w:rsidRPr="004B1601">
              <w:t>–</w:t>
            </w:r>
          </w:p>
        </w:tc>
        <w:tc>
          <w:tcPr>
            <w:tcW w:w="988" w:type="dxa"/>
            <w:vAlign w:val="bottom"/>
          </w:tcPr>
          <w:p w14:paraId="6F3C4873" w14:textId="11F25E3B" w:rsidR="006F03A1" w:rsidRPr="004B1601" w:rsidRDefault="00C85A27" w:rsidP="00C85A27">
            <w:pPr>
              <w:pStyle w:val="Tabletext"/>
              <w:keepNext/>
              <w:keepLines/>
              <w:jc w:val="right"/>
            </w:pPr>
            <w:r w:rsidRPr="004B1601">
              <w:t>–</w:t>
            </w:r>
          </w:p>
        </w:tc>
        <w:tc>
          <w:tcPr>
            <w:tcW w:w="989" w:type="dxa"/>
            <w:vAlign w:val="bottom"/>
          </w:tcPr>
          <w:p w14:paraId="76B459F0" w14:textId="12385E34" w:rsidR="006F03A1" w:rsidRPr="004B1601" w:rsidRDefault="00C85A27" w:rsidP="00C85A27">
            <w:pPr>
              <w:pStyle w:val="Tabletext"/>
              <w:keepNext/>
              <w:keepLines/>
              <w:jc w:val="right"/>
            </w:pPr>
            <w:r w:rsidRPr="004B1601">
              <w:t>–</w:t>
            </w:r>
          </w:p>
        </w:tc>
      </w:tr>
      <w:tr w:rsidR="00514B40" w:rsidRPr="004B1601" w14:paraId="57725938" w14:textId="77777777" w:rsidTr="00C85A27">
        <w:tc>
          <w:tcPr>
            <w:tcW w:w="2552" w:type="dxa"/>
            <w:vAlign w:val="center"/>
          </w:tcPr>
          <w:p w14:paraId="7DB3CE8B" w14:textId="08CCF2B8" w:rsidR="00514B40" w:rsidRPr="004B1601" w:rsidRDefault="00514B40" w:rsidP="007819FB">
            <w:pPr>
              <w:pStyle w:val="Tabletext"/>
              <w:rPr>
                <w:lang w:val="en-US" w:eastAsia="nl-NL"/>
              </w:rPr>
            </w:pPr>
            <w:r w:rsidRPr="00716EDB">
              <w:rPr>
                <w:lang w:val="en-US" w:eastAsia="nl-NL"/>
              </w:rPr>
              <w:t xml:space="preserve">Group </w:t>
            </w:r>
            <w:proofErr w:type="spellStart"/>
            <w:r w:rsidRPr="00716EDB">
              <w:rPr>
                <w:lang w:val="en-US" w:eastAsia="nl-NL"/>
              </w:rPr>
              <w:t>reorganisation</w:t>
            </w:r>
            <w:proofErr w:type="spellEnd"/>
          </w:p>
        </w:tc>
        <w:tc>
          <w:tcPr>
            <w:tcW w:w="567" w:type="dxa"/>
          </w:tcPr>
          <w:p w14:paraId="7607962A" w14:textId="77777777" w:rsidR="00514B40" w:rsidRPr="004B1601" w:rsidRDefault="00514B40" w:rsidP="007819FB">
            <w:pPr>
              <w:pStyle w:val="Tabletext"/>
              <w:jc w:val="right"/>
            </w:pPr>
          </w:p>
        </w:tc>
        <w:tc>
          <w:tcPr>
            <w:tcW w:w="988" w:type="dxa"/>
            <w:vAlign w:val="bottom"/>
          </w:tcPr>
          <w:p w14:paraId="1C18CA36" w14:textId="78125DE6" w:rsidR="00514B40" w:rsidRPr="004B1601" w:rsidRDefault="00514B40" w:rsidP="007819FB">
            <w:pPr>
              <w:pStyle w:val="Tabletext"/>
              <w:jc w:val="right"/>
            </w:pPr>
            <w:r w:rsidRPr="00716EDB">
              <w:t>2.5</w:t>
            </w:r>
          </w:p>
        </w:tc>
        <w:tc>
          <w:tcPr>
            <w:tcW w:w="988" w:type="dxa"/>
            <w:vAlign w:val="bottom"/>
          </w:tcPr>
          <w:p w14:paraId="7E124451" w14:textId="3EA4CA1E" w:rsidR="00514B40" w:rsidRPr="004B1601" w:rsidRDefault="00514B40" w:rsidP="007819FB">
            <w:pPr>
              <w:pStyle w:val="Tabletext"/>
              <w:jc w:val="right"/>
            </w:pPr>
            <w:r w:rsidRPr="00716EDB">
              <w:t>525.0</w:t>
            </w:r>
          </w:p>
        </w:tc>
        <w:tc>
          <w:tcPr>
            <w:tcW w:w="989" w:type="dxa"/>
            <w:vAlign w:val="bottom"/>
          </w:tcPr>
          <w:p w14:paraId="1DD3DB4D" w14:textId="131EA9EB" w:rsidR="00514B40" w:rsidRPr="004B1601" w:rsidRDefault="00514B40" w:rsidP="007819FB">
            <w:pPr>
              <w:pStyle w:val="Tabletext"/>
              <w:jc w:val="right"/>
            </w:pPr>
            <w:r w:rsidRPr="00716EDB">
              <w:t>376.1</w:t>
            </w:r>
          </w:p>
        </w:tc>
        <w:tc>
          <w:tcPr>
            <w:tcW w:w="988" w:type="dxa"/>
            <w:vAlign w:val="bottom"/>
          </w:tcPr>
          <w:p w14:paraId="6390E6D2" w14:textId="590B9CC2" w:rsidR="00514B40" w:rsidRPr="004B1601" w:rsidRDefault="00514B40" w:rsidP="007819FB">
            <w:pPr>
              <w:pStyle w:val="Tabletext"/>
              <w:jc w:val="right"/>
            </w:pPr>
            <w:r w:rsidRPr="00716EDB">
              <w:t>–</w:t>
            </w:r>
          </w:p>
        </w:tc>
        <w:tc>
          <w:tcPr>
            <w:tcW w:w="988" w:type="dxa"/>
            <w:vAlign w:val="bottom"/>
          </w:tcPr>
          <w:p w14:paraId="48F3FBED" w14:textId="119CB900" w:rsidR="00514B40" w:rsidRPr="004B1601" w:rsidRDefault="00514B40" w:rsidP="007819FB">
            <w:pPr>
              <w:pStyle w:val="Tabletext"/>
              <w:jc w:val="right"/>
            </w:pPr>
            <w:r w:rsidRPr="00716EDB">
              <w:t>–</w:t>
            </w:r>
          </w:p>
        </w:tc>
        <w:tc>
          <w:tcPr>
            <w:tcW w:w="989" w:type="dxa"/>
            <w:vAlign w:val="bottom"/>
          </w:tcPr>
          <w:p w14:paraId="531493AE" w14:textId="6032AA87" w:rsidR="00514B40" w:rsidRPr="004B1601" w:rsidRDefault="00514B40" w:rsidP="007819FB">
            <w:pPr>
              <w:pStyle w:val="Tabletext"/>
              <w:jc w:val="right"/>
            </w:pPr>
            <w:r w:rsidRPr="00716EDB">
              <w:t>903.6</w:t>
            </w:r>
          </w:p>
        </w:tc>
      </w:tr>
      <w:tr w:rsidR="00A33418" w:rsidRPr="004B1601" w14:paraId="75FF2857" w14:textId="77777777" w:rsidTr="00A33418">
        <w:tc>
          <w:tcPr>
            <w:tcW w:w="2552" w:type="dxa"/>
            <w:vAlign w:val="center"/>
          </w:tcPr>
          <w:p w14:paraId="31EC014F" w14:textId="0A206B1B" w:rsidR="00A33418" w:rsidRPr="004B1601" w:rsidRDefault="00A33418" w:rsidP="007819FB">
            <w:pPr>
              <w:pStyle w:val="Tabletext"/>
              <w:rPr>
                <w:lang w:val="en-US" w:eastAsia="nl-NL"/>
              </w:rPr>
            </w:pPr>
            <w:r w:rsidRPr="00716EDB">
              <w:rPr>
                <w:lang w:val="en-US" w:eastAsia="nl-NL"/>
              </w:rPr>
              <w:t>Shares issued on Admission</w:t>
            </w:r>
          </w:p>
        </w:tc>
        <w:tc>
          <w:tcPr>
            <w:tcW w:w="567" w:type="dxa"/>
          </w:tcPr>
          <w:p w14:paraId="45FB12C8" w14:textId="77777777" w:rsidR="00A33418" w:rsidRPr="004B1601" w:rsidRDefault="00A33418" w:rsidP="007819FB">
            <w:pPr>
              <w:pStyle w:val="Tabletext"/>
              <w:jc w:val="right"/>
            </w:pPr>
          </w:p>
        </w:tc>
        <w:tc>
          <w:tcPr>
            <w:tcW w:w="988" w:type="dxa"/>
            <w:vAlign w:val="bottom"/>
          </w:tcPr>
          <w:p w14:paraId="4C0C6FC0" w14:textId="44DCD1C7" w:rsidR="00A33418" w:rsidRPr="004B1601" w:rsidRDefault="00A33418" w:rsidP="007819FB">
            <w:pPr>
              <w:pStyle w:val="Tabletext"/>
              <w:jc w:val="right"/>
            </w:pPr>
            <w:r w:rsidRPr="00716EDB">
              <w:t>1.5</w:t>
            </w:r>
          </w:p>
        </w:tc>
        <w:tc>
          <w:tcPr>
            <w:tcW w:w="988" w:type="dxa"/>
            <w:vAlign w:val="bottom"/>
          </w:tcPr>
          <w:p w14:paraId="14280493" w14:textId="6668A86A" w:rsidR="00A33418" w:rsidRPr="004B1601" w:rsidRDefault="00A33418" w:rsidP="007819FB">
            <w:pPr>
              <w:pStyle w:val="Tabletext"/>
              <w:jc w:val="right"/>
            </w:pPr>
            <w:r w:rsidRPr="00716EDB">
              <w:t>313.3</w:t>
            </w:r>
          </w:p>
        </w:tc>
        <w:tc>
          <w:tcPr>
            <w:tcW w:w="989" w:type="dxa"/>
            <w:vAlign w:val="bottom"/>
          </w:tcPr>
          <w:p w14:paraId="5E443D7D" w14:textId="5811E4A4" w:rsidR="00A33418" w:rsidRPr="004B1601" w:rsidRDefault="00A33418" w:rsidP="007819FB">
            <w:pPr>
              <w:pStyle w:val="Tabletext"/>
              <w:jc w:val="right"/>
            </w:pPr>
            <w:r w:rsidRPr="00716EDB">
              <w:t>–</w:t>
            </w:r>
          </w:p>
        </w:tc>
        <w:tc>
          <w:tcPr>
            <w:tcW w:w="988" w:type="dxa"/>
            <w:vAlign w:val="bottom"/>
          </w:tcPr>
          <w:p w14:paraId="7AF7C630" w14:textId="417D4444" w:rsidR="00A33418" w:rsidRPr="004B1601" w:rsidRDefault="00A33418" w:rsidP="007819FB">
            <w:pPr>
              <w:pStyle w:val="Tabletext"/>
              <w:jc w:val="right"/>
            </w:pPr>
            <w:r w:rsidRPr="00716EDB">
              <w:t>–</w:t>
            </w:r>
          </w:p>
        </w:tc>
        <w:tc>
          <w:tcPr>
            <w:tcW w:w="988" w:type="dxa"/>
            <w:vAlign w:val="bottom"/>
          </w:tcPr>
          <w:p w14:paraId="0E7B2137" w14:textId="7DB0B2A0" w:rsidR="00A33418" w:rsidRPr="004B1601" w:rsidRDefault="00A33418" w:rsidP="007819FB">
            <w:pPr>
              <w:pStyle w:val="Tabletext"/>
              <w:jc w:val="right"/>
            </w:pPr>
            <w:r w:rsidRPr="00716EDB">
              <w:t>–</w:t>
            </w:r>
          </w:p>
        </w:tc>
        <w:tc>
          <w:tcPr>
            <w:tcW w:w="989" w:type="dxa"/>
            <w:vAlign w:val="bottom"/>
          </w:tcPr>
          <w:p w14:paraId="24B60589" w14:textId="7EC1A0BA" w:rsidR="00A33418" w:rsidRPr="004B1601" w:rsidRDefault="00A33418" w:rsidP="007819FB">
            <w:pPr>
              <w:pStyle w:val="Tabletext"/>
              <w:jc w:val="right"/>
            </w:pPr>
            <w:r w:rsidRPr="00716EDB">
              <w:t>314.8</w:t>
            </w:r>
          </w:p>
        </w:tc>
      </w:tr>
      <w:tr w:rsidR="00A33418" w:rsidRPr="004B1601" w14:paraId="7144EBAC" w14:textId="77777777" w:rsidTr="00A33418">
        <w:tc>
          <w:tcPr>
            <w:tcW w:w="2552" w:type="dxa"/>
            <w:vAlign w:val="center"/>
          </w:tcPr>
          <w:p w14:paraId="52E49F57" w14:textId="18B9A76E" w:rsidR="00A33418" w:rsidRPr="004B1601" w:rsidRDefault="00A33418" w:rsidP="007819FB">
            <w:pPr>
              <w:pStyle w:val="Tabletext"/>
              <w:rPr>
                <w:lang w:val="en-US" w:eastAsia="nl-NL"/>
              </w:rPr>
            </w:pPr>
            <w:r w:rsidRPr="00716EDB">
              <w:rPr>
                <w:lang w:val="en-US" w:eastAsia="nl-NL"/>
              </w:rPr>
              <w:t>Transaction costs of shares issued</w:t>
            </w:r>
          </w:p>
        </w:tc>
        <w:tc>
          <w:tcPr>
            <w:tcW w:w="567" w:type="dxa"/>
          </w:tcPr>
          <w:p w14:paraId="27C1B85B" w14:textId="77777777" w:rsidR="00A33418" w:rsidRPr="004B1601" w:rsidRDefault="00A33418" w:rsidP="007819FB">
            <w:pPr>
              <w:pStyle w:val="Tabletext"/>
              <w:jc w:val="right"/>
            </w:pPr>
          </w:p>
        </w:tc>
        <w:tc>
          <w:tcPr>
            <w:tcW w:w="988" w:type="dxa"/>
            <w:vAlign w:val="bottom"/>
          </w:tcPr>
          <w:p w14:paraId="4DCA362D" w14:textId="6156BE82" w:rsidR="00A33418" w:rsidRPr="004B1601" w:rsidRDefault="00A33418" w:rsidP="007819FB">
            <w:pPr>
              <w:pStyle w:val="Tabletext"/>
              <w:jc w:val="right"/>
            </w:pPr>
            <w:r w:rsidRPr="00716EDB">
              <w:t>–</w:t>
            </w:r>
          </w:p>
        </w:tc>
        <w:tc>
          <w:tcPr>
            <w:tcW w:w="988" w:type="dxa"/>
            <w:vAlign w:val="bottom"/>
          </w:tcPr>
          <w:p w14:paraId="618D4240" w14:textId="57D7591E" w:rsidR="00A33418" w:rsidRPr="004B1601" w:rsidRDefault="00A33418" w:rsidP="007819FB">
            <w:pPr>
              <w:pStyle w:val="Tabletext"/>
              <w:jc w:val="right"/>
            </w:pPr>
            <w:r w:rsidRPr="00716EDB">
              <w:t>(11.4)</w:t>
            </w:r>
          </w:p>
        </w:tc>
        <w:tc>
          <w:tcPr>
            <w:tcW w:w="989" w:type="dxa"/>
            <w:vAlign w:val="bottom"/>
          </w:tcPr>
          <w:p w14:paraId="03336C4B" w14:textId="7B82B035" w:rsidR="00A33418" w:rsidRPr="004B1601" w:rsidRDefault="00A33418" w:rsidP="007819FB">
            <w:pPr>
              <w:pStyle w:val="Tabletext"/>
              <w:jc w:val="right"/>
            </w:pPr>
            <w:r w:rsidRPr="00716EDB">
              <w:t>–</w:t>
            </w:r>
          </w:p>
        </w:tc>
        <w:tc>
          <w:tcPr>
            <w:tcW w:w="988" w:type="dxa"/>
            <w:vAlign w:val="bottom"/>
          </w:tcPr>
          <w:p w14:paraId="66CE20F5" w14:textId="5FAED910" w:rsidR="00A33418" w:rsidRPr="004B1601" w:rsidRDefault="00A33418" w:rsidP="007819FB">
            <w:pPr>
              <w:pStyle w:val="Tabletext"/>
              <w:jc w:val="right"/>
            </w:pPr>
            <w:r w:rsidRPr="00716EDB">
              <w:t>–</w:t>
            </w:r>
          </w:p>
        </w:tc>
        <w:tc>
          <w:tcPr>
            <w:tcW w:w="988" w:type="dxa"/>
            <w:vAlign w:val="bottom"/>
          </w:tcPr>
          <w:p w14:paraId="0CD33B30" w14:textId="51CA25BC" w:rsidR="00A33418" w:rsidRPr="004B1601" w:rsidRDefault="00A33418" w:rsidP="007819FB">
            <w:pPr>
              <w:pStyle w:val="Tabletext"/>
              <w:jc w:val="right"/>
            </w:pPr>
            <w:r w:rsidRPr="00716EDB">
              <w:t>–</w:t>
            </w:r>
          </w:p>
        </w:tc>
        <w:tc>
          <w:tcPr>
            <w:tcW w:w="989" w:type="dxa"/>
            <w:vAlign w:val="bottom"/>
          </w:tcPr>
          <w:p w14:paraId="1E92654D" w14:textId="53167EDA" w:rsidR="00A33418" w:rsidRPr="004B1601" w:rsidRDefault="00A33418" w:rsidP="007819FB">
            <w:pPr>
              <w:pStyle w:val="Tabletext"/>
              <w:jc w:val="right"/>
            </w:pPr>
            <w:r w:rsidRPr="00716EDB">
              <w:t>(11.4)</w:t>
            </w:r>
          </w:p>
        </w:tc>
      </w:tr>
      <w:tr w:rsidR="00A33418" w:rsidRPr="004B1601" w14:paraId="47D28E96" w14:textId="77777777" w:rsidTr="00A33418">
        <w:tc>
          <w:tcPr>
            <w:tcW w:w="2552" w:type="dxa"/>
            <w:vAlign w:val="center"/>
          </w:tcPr>
          <w:p w14:paraId="692098A2" w14:textId="2558D86A" w:rsidR="00A33418" w:rsidRPr="004B1601" w:rsidRDefault="00A33418" w:rsidP="007819FB">
            <w:pPr>
              <w:pStyle w:val="Tabletext"/>
              <w:rPr>
                <w:lang w:val="en-US" w:eastAsia="nl-NL"/>
              </w:rPr>
            </w:pPr>
            <w:r w:rsidRPr="00716EDB">
              <w:rPr>
                <w:lang w:val="en-US" w:eastAsia="nl-NL"/>
              </w:rPr>
              <w:t>Share-based payments</w:t>
            </w:r>
          </w:p>
        </w:tc>
        <w:tc>
          <w:tcPr>
            <w:tcW w:w="567" w:type="dxa"/>
          </w:tcPr>
          <w:p w14:paraId="228C5CAA" w14:textId="77777777" w:rsidR="00A33418" w:rsidRPr="004B1601" w:rsidRDefault="00A33418" w:rsidP="007819FB">
            <w:pPr>
              <w:pStyle w:val="Tabletext"/>
              <w:jc w:val="right"/>
            </w:pPr>
          </w:p>
        </w:tc>
        <w:tc>
          <w:tcPr>
            <w:tcW w:w="988" w:type="dxa"/>
            <w:vAlign w:val="bottom"/>
          </w:tcPr>
          <w:p w14:paraId="7DCBA91D" w14:textId="0D91A74C" w:rsidR="00A33418" w:rsidRPr="004B1601" w:rsidRDefault="00A33418" w:rsidP="007819FB">
            <w:pPr>
              <w:pStyle w:val="Tabletext"/>
              <w:jc w:val="right"/>
            </w:pPr>
            <w:r w:rsidRPr="00716EDB">
              <w:t>–</w:t>
            </w:r>
          </w:p>
        </w:tc>
        <w:tc>
          <w:tcPr>
            <w:tcW w:w="988" w:type="dxa"/>
            <w:vAlign w:val="bottom"/>
          </w:tcPr>
          <w:p w14:paraId="0923C90E" w14:textId="27CBC59C" w:rsidR="00A33418" w:rsidRPr="004B1601" w:rsidRDefault="00A33418" w:rsidP="007819FB">
            <w:pPr>
              <w:pStyle w:val="Tabletext"/>
              <w:jc w:val="right"/>
            </w:pPr>
            <w:r w:rsidRPr="00716EDB">
              <w:t>–</w:t>
            </w:r>
          </w:p>
        </w:tc>
        <w:tc>
          <w:tcPr>
            <w:tcW w:w="989" w:type="dxa"/>
            <w:vAlign w:val="bottom"/>
          </w:tcPr>
          <w:p w14:paraId="3CE4D9F4" w14:textId="4F68B196" w:rsidR="00A33418" w:rsidRPr="004B1601" w:rsidRDefault="00A33418" w:rsidP="007819FB">
            <w:pPr>
              <w:pStyle w:val="Tabletext"/>
              <w:jc w:val="right"/>
            </w:pPr>
            <w:r w:rsidRPr="00716EDB">
              <w:t>–</w:t>
            </w:r>
          </w:p>
        </w:tc>
        <w:tc>
          <w:tcPr>
            <w:tcW w:w="988" w:type="dxa"/>
            <w:vAlign w:val="bottom"/>
          </w:tcPr>
          <w:p w14:paraId="328A4480" w14:textId="7E719F01" w:rsidR="00A33418" w:rsidRPr="004B1601" w:rsidRDefault="00A33418" w:rsidP="007819FB">
            <w:pPr>
              <w:pStyle w:val="Tabletext"/>
              <w:jc w:val="right"/>
            </w:pPr>
            <w:r w:rsidRPr="00716EDB">
              <w:t>–</w:t>
            </w:r>
          </w:p>
        </w:tc>
        <w:tc>
          <w:tcPr>
            <w:tcW w:w="988" w:type="dxa"/>
            <w:vAlign w:val="bottom"/>
          </w:tcPr>
          <w:p w14:paraId="7D72BAB0" w14:textId="67EDEF8F" w:rsidR="00A33418" w:rsidRPr="004B1601" w:rsidRDefault="00A33418" w:rsidP="007819FB">
            <w:pPr>
              <w:pStyle w:val="Tabletext"/>
              <w:jc w:val="right"/>
            </w:pPr>
            <w:r w:rsidRPr="00716EDB">
              <w:t>2.8</w:t>
            </w:r>
          </w:p>
        </w:tc>
        <w:tc>
          <w:tcPr>
            <w:tcW w:w="989" w:type="dxa"/>
            <w:vAlign w:val="bottom"/>
          </w:tcPr>
          <w:p w14:paraId="3570EA20" w14:textId="2E0C2714" w:rsidR="00A33418" w:rsidRPr="004B1601" w:rsidRDefault="00A33418" w:rsidP="007819FB">
            <w:pPr>
              <w:pStyle w:val="Tabletext"/>
              <w:jc w:val="right"/>
            </w:pPr>
            <w:r w:rsidRPr="00716EDB">
              <w:t>2.8</w:t>
            </w:r>
          </w:p>
        </w:tc>
      </w:tr>
      <w:tr w:rsidR="00A33418" w:rsidRPr="004B1601" w14:paraId="3F0F4EA9" w14:textId="77777777" w:rsidTr="00A33418">
        <w:tc>
          <w:tcPr>
            <w:tcW w:w="2552" w:type="dxa"/>
            <w:vAlign w:val="center"/>
          </w:tcPr>
          <w:p w14:paraId="101E6921" w14:textId="5C732FDA" w:rsidR="00A33418" w:rsidRPr="004B1601" w:rsidRDefault="00A33418" w:rsidP="007819FB">
            <w:pPr>
              <w:pStyle w:val="Tabletext"/>
              <w:rPr>
                <w:lang w:val="en-US" w:eastAsia="nl-NL"/>
              </w:rPr>
            </w:pPr>
            <w:r w:rsidRPr="00716EDB">
              <w:rPr>
                <w:lang w:val="en-US" w:eastAsia="nl-NL"/>
              </w:rPr>
              <w:t xml:space="preserve">Deferred tax on share-based payments </w:t>
            </w:r>
          </w:p>
        </w:tc>
        <w:tc>
          <w:tcPr>
            <w:tcW w:w="567" w:type="dxa"/>
          </w:tcPr>
          <w:p w14:paraId="79B3CB23" w14:textId="77777777" w:rsidR="00A33418" w:rsidRPr="004B1601" w:rsidRDefault="00A33418" w:rsidP="007819FB">
            <w:pPr>
              <w:pStyle w:val="Tabletext"/>
              <w:jc w:val="right"/>
            </w:pPr>
          </w:p>
        </w:tc>
        <w:tc>
          <w:tcPr>
            <w:tcW w:w="988" w:type="dxa"/>
            <w:vAlign w:val="bottom"/>
          </w:tcPr>
          <w:p w14:paraId="0184FEBF" w14:textId="6D5D547A" w:rsidR="00A33418" w:rsidRPr="004B1601" w:rsidRDefault="00A33418" w:rsidP="007819FB">
            <w:pPr>
              <w:pStyle w:val="Tabletext"/>
              <w:jc w:val="right"/>
            </w:pPr>
            <w:r w:rsidRPr="00716EDB">
              <w:t>–</w:t>
            </w:r>
          </w:p>
        </w:tc>
        <w:tc>
          <w:tcPr>
            <w:tcW w:w="988" w:type="dxa"/>
            <w:vAlign w:val="bottom"/>
          </w:tcPr>
          <w:p w14:paraId="662D90C5" w14:textId="307EBD77" w:rsidR="00A33418" w:rsidRPr="004B1601" w:rsidRDefault="00A33418" w:rsidP="007819FB">
            <w:pPr>
              <w:pStyle w:val="Tabletext"/>
              <w:jc w:val="right"/>
            </w:pPr>
            <w:r w:rsidRPr="00716EDB">
              <w:t>–</w:t>
            </w:r>
          </w:p>
        </w:tc>
        <w:tc>
          <w:tcPr>
            <w:tcW w:w="989" w:type="dxa"/>
            <w:vAlign w:val="bottom"/>
          </w:tcPr>
          <w:p w14:paraId="7D17B5EC" w14:textId="09373C80" w:rsidR="00A33418" w:rsidRPr="004B1601" w:rsidRDefault="00A33418" w:rsidP="007819FB">
            <w:pPr>
              <w:pStyle w:val="Tabletext"/>
              <w:jc w:val="right"/>
            </w:pPr>
            <w:r w:rsidRPr="00716EDB">
              <w:t>–</w:t>
            </w:r>
          </w:p>
        </w:tc>
        <w:tc>
          <w:tcPr>
            <w:tcW w:w="988" w:type="dxa"/>
            <w:vAlign w:val="bottom"/>
          </w:tcPr>
          <w:p w14:paraId="11AB1AAB" w14:textId="2718ABCE" w:rsidR="00A33418" w:rsidRPr="004B1601" w:rsidRDefault="00A33418" w:rsidP="007819FB">
            <w:pPr>
              <w:pStyle w:val="Tabletext"/>
              <w:jc w:val="right"/>
            </w:pPr>
            <w:r w:rsidRPr="00716EDB">
              <w:t>–</w:t>
            </w:r>
          </w:p>
        </w:tc>
        <w:tc>
          <w:tcPr>
            <w:tcW w:w="988" w:type="dxa"/>
            <w:vAlign w:val="bottom"/>
          </w:tcPr>
          <w:p w14:paraId="6C2AD661" w14:textId="7883C53D" w:rsidR="00A33418" w:rsidRPr="004B1601" w:rsidRDefault="00A33418" w:rsidP="007819FB">
            <w:pPr>
              <w:pStyle w:val="Tabletext"/>
              <w:jc w:val="right"/>
            </w:pPr>
            <w:r w:rsidRPr="00716EDB">
              <w:t>0.4</w:t>
            </w:r>
          </w:p>
        </w:tc>
        <w:tc>
          <w:tcPr>
            <w:tcW w:w="989" w:type="dxa"/>
            <w:vAlign w:val="bottom"/>
          </w:tcPr>
          <w:p w14:paraId="426F3349" w14:textId="7232B955" w:rsidR="00A33418" w:rsidRPr="004B1601" w:rsidRDefault="00A33418" w:rsidP="007819FB">
            <w:pPr>
              <w:pStyle w:val="Tabletext"/>
              <w:jc w:val="right"/>
            </w:pPr>
            <w:r w:rsidRPr="00716EDB">
              <w:t>0.4</w:t>
            </w:r>
          </w:p>
        </w:tc>
      </w:tr>
      <w:tr w:rsidR="00A33418" w:rsidRPr="00716EDB" w14:paraId="3D77949F" w14:textId="77777777" w:rsidTr="00A33418">
        <w:tc>
          <w:tcPr>
            <w:tcW w:w="2552" w:type="dxa"/>
            <w:tcBorders>
              <w:top w:val="single" w:sz="4" w:space="0" w:color="93B7BB"/>
            </w:tcBorders>
            <w:vAlign w:val="center"/>
          </w:tcPr>
          <w:p w14:paraId="3DF84F8F" w14:textId="77777777" w:rsidR="00A33418" w:rsidRPr="0015087B" w:rsidRDefault="00A33418" w:rsidP="007819FB">
            <w:pPr>
              <w:pStyle w:val="Tabletext"/>
              <w:keepNext/>
              <w:keepLines/>
              <w:rPr>
                <w:b/>
              </w:rPr>
            </w:pPr>
            <w:r w:rsidRPr="0015087B">
              <w:rPr>
                <w:b/>
                <w:lang w:val="en-US" w:eastAsia="nl-NL"/>
              </w:rPr>
              <w:t>As at 1 January 201</w:t>
            </w:r>
            <w:r>
              <w:rPr>
                <w:b/>
                <w:lang w:val="en-US" w:eastAsia="nl-NL"/>
              </w:rPr>
              <w:t>5 as restated</w:t>
            </w:r>
          </w:p>
        </w:tc>
        <w:tc>
          <w:tcPr>
            <w:tcW w:w="567" w:type="dxa"/>
            <w:tcBorders>
              <w:top w:val="single" w:sz="4" w:space="0" w:color="93B7BB"/>
            </w:tcBorders>
          </w:tcPr>
          <w:p w14:paraId="7A10FDAB" w14:textId="77777777" w:rsidR="00A33418" w:rsidRPr="006D1B0B" w:rsidRDefault="00A33418" w:rsidP="007819FB">
            <w:pPr>
              <w:pStyle w:val="Tabletext"/>
              <w:keepNext/>
              <w:keepLines/>
              <w:jc w:val="right"/>
              <w:rPr>
                <w:b/>
              </w:rPr>
            </w:pPr>
          </w:p>
        </w:tc>
        <w:tc>
          <w:tcPr>
            <w:tcW w:w="988" w:type="dxa"/>
            <w:tcBorders>
              <w:top w:val="single" w:sz="4" w:space="0" w:color="93B7BB"/>
            </w:tcBorders>
            <w:vAlign w:val="bottom"/>
          </w:tcPr>
          <w:p w14:paraId="78E09409" w14:textId="77777777" w:rsidR="00A33418" w:rsidRPr="006D1B0B" w:rsidRDefault="00A33418" w:rsidP="007819FB">
            <w:pPr>
              <w:pStyle w:val="Tabletext"/>
              <w:keepNext/>
              <w:keepLines/>
              <w:jc w:val="right"/>
              <w:rPr>
                <w:b/>
              </w:rPr>
            </w:pPr>
            <w:r w:rsidRPr="006D1B0B">
              <w:rPr>
                <w:b/>
              </w:rPr>
              <w:t>4.0</w:t>
            </w:r>
          </w:p>
        </w:tc>
        <w:tc>
          <w:tcPr>
            <w:tcW w:w="988" w:type="dxa"/>
            <w:tcBorders>
              <w:top w:val="single" w:sz="4" w:space="0" w:color="93B7BB"/>
            </w:tcBorders>
            <w:vAlign w:val="bottom"/>
          </w:tcPr>
          <w:p w14:paraId="5A9C147B" w14:textId="77777777" w:rsidR="00A33418" w:rsidRPr="006D1B0B" w:rsidRDefault="00A33418" w:rsidP="007819FB">
            <w:pPr>
              <w:pStyle w:val="Tabletext"/>
              <w:keepNext/>
              <w:keepLines/>
              <w:jc w:val="right"/>
              <w:rPr>
                <w:b/>
              </w:rPr>
            </w:pPr>
            <w:r w:rsidRPr="006D1B0B">
              <w:rPr>
                <w:b/>
              </w:rPr>
              <w:t>826.9</w:t>
            </w:r>
          </w:p>
        </w:tc>
        <w:tc>
          <w:tcPr>
            <w:tcW w:w="989" w:type="dxa"/>
            <w:tcBorders>
              <w:top w:val="single" w:sz="4" w:space="0" w:color="93B7BB"/>
            </w:tcBorders>
            <w:vAlign w:val="bottom"/>
          </w:tcPr>
          <w:p w14:paraId="30CA8C39" w14:textId="77777777" w:rsidR="00A33418" w:rsidRPr="006D1B0B" w:rsidRDefault="00A33418" w:rsidP="007819FB">
            <w:pPr>
              <w:pStyle w:val="Tabletext"/>
              <w:keepNext/>
              <w:keepLines/>
              <w:jc w:val="right"/>
              <w:rPr>
                <w:b/>
              </w:rPr>
            </w:pPr>
            <w:r w:rsidRPr="006D1B0B">
              <w:rPr>
                <w:b/>
              </w:rPr>
              <w:t>376.1</w:t>
            </w:r>
          </w:p>
        </w:tc>
        <w:tc>
          <w:tcPr>
            <w:tcW w:w="988" w:type="dxa"/>
            <w:tcBorders>
              <w:top w:val="single" w:sz="4" w:space="0" w:color="93B7BB"/>
            </w:tcBorders>
            <w:vAlign w:val="bottom"/>
          </w:tcPr>
          <w:p w14:paraId="657242DE" w14:textId="77777777" w:rsidR="00A33418" w:rsidRPr="006D1B0B" w:rsidRDefault="00A33418" w:rsidP="007819FB">
            <w:pPr>
              <w:pStyle w:val="Tabletext"/>
              <w:keepNext/>
              <w:keepLines/>
              <w:jc w:val="right"/>
              <w:rPr>
                <w:b/>
              </w:rPr>
            </w:pPr>
            <w:r w:rsidRPr="003A2EAB">
              <w:rPr>
                <w:b/>
              </w:rPr>
              <w:t>–</w:t>
            </w:r>
          </w:p>
        </w:tc>
        <w:tc>
          <w:tcPr>
            <w:tcW w:w="988" w:type="dxa"/>
            <w:tcBorders>
              <w:top w:val="single" w:sz="4" w:space="0" w:color="93B7BB"/>
            </w:tcBorders>
            <w:vAlign w:val="bottom"/>
          </w:tcPr>
          <w:p w14:paraId="6B7C2885" w14:textId="77777777" w:rsidR="00A33418" w:rsidRPr="006D1B0B" w:rsidRDefault="00A33418" w:rsidP="007819FB">
            <w:pPr>
              <w:pStyle w:val="Tabletext"/>
              <w:keepNext/>
              <w:keepLines/>
              <w:jc w:val="right"/>
              <w:rPr>
                <w:b/>
              </w:rPr>
            </w:pPr>
            <w:r w:rsidRPr="006D1B0B">
              <w:rPr>
                <w:b/>
              </w:rPr>
              <w:t>(</w:t>
            </w:r>
            <w:r>
              <w:rPr>
                <w:b/>
              </w:rPr>
              <w:t>252.0</w:t>
            </w:r>
            <w:r w:rsidRPr="006D1B0B">
              <w:rPr>
                <w:b/>
              </w:rPr>
              <w:t>)</w:t>
            </w:r>
          </w:p>
        </w:tc>
        <w:tc>
          <w:tcPr>
            <w:tcW w:w="989" w:type="dxa"/>
            <w:tcBorders>
              <w:top w:val="single" w:sz="4" w:space="0" w:color="93B7BB"/>
            </w:tcBorders>
            <w:vAlign w:val="bottom"/>
          </w:tcPr>
          <w:p w14:paraId="152B6969" w14:textId="77777777" w:rsidR="00A33418" w:rsidRPr="006D1B0B" w:rsidRDefault="00A33418" w:rsidP="007819FB">
            <w:pPr>
              <w:pStyle w:val="Tabletext"/>
              <w:keepNext/>
              <w:keepLines/>
              <w:jc w:val="right"/>
              <w:rPr>
                <w:b/>
              </w:rPr>
            </w:pPr>
            <w:r>
              <w:rPr>
                <w:b/>
              </w:rPr>
              <w:t>955.0</w:t>
            </w:r>
          </w:p>
        </w:tc>
      </w:tr>
      <w:tr w:rsidR="00A33418" w:rsidRPr="00716EDB" w14:paraId="611BB834" w14:textId="77777777" w:rsidTr="00797811">
        <w:tc>
          <w:tcPr>
            <w:tcW w:w="2552" w:type="dxa"/>
            <w:vAlign w:val="center"/>
          </w:tcPr>
          <w:p w14:paraId="2F8D696F" w14:textId="77777777" w:rsidR="00A33418" w:rsidRPr="00451BD3" w:rsidRDefault="00A33418" w:rsidP="007819FB">
            <w:pPr>
              <w:pStyle w:val="Tabletext"/>
              <w:keepNext/>
              <w:keepLines/>
            </w:pPr>
            <w:r w:rsidRPr="00451BD3">
              <w:rPr>
                <w:lang w:val="en-US" w:eastAsia="nl-NL"/>
              </w:rPr>
              <w:t xml:space="preserve">Profit for the period </w:t>
            </w:r>
          </w:p>
        </w:tc>
        <w:tc>
          <w:tcPr>
            <w:tcW w:w="567" w:type="dxa"/>
          </w:tcPr>
          <w:p w14:paraId="5F12A0B6" w14:textId="77777777" w:rsidR="00A33418" w:rsidRPr="00451BD3" w:rsidRDefault="00A33418" w:rsidP="007819FB">
            <w:pPr>
              <w:pStyle w:val="Tabletext"/>
              <w:keepNext/>
              <w:keepLines/>
              <w:jc w:val="right"/>
            </w:pPr>
          </w:p>
        </w:tc>
        <w:tc>
          <w:tcPr>
            <w:tcW w:w="988" w:type="dxa"/>
            <w:vAlign w:val="bottom"/>
          </w:tcPr>
          <w:p w14:paraId="68AC5AB4" w14:textId="77777777" w:rsidR="00A33418" w:rsidRPr="00451BD3" w:rsidRDefault="00A33418" w:rsidP="007819FB">
            <w:pPr>
              <w:pStyle w:val="Tabletext"/>
              <w:keepNext/>
              <w:keepLines/>
              <w:jc w:val="right"/>
            </w:pPr>
            <w:r w:rsidRPr="00451BD3">
              <w:t>–</w:t>
            </w:r>
          </w:p>
        </w:tc>
        <w:tc>
          <w:tcPr>
            <w:tcW w:w="988" w:type="dxa"/>
            <w:vAlign w:val="bottom"/>
          </w:tcPr>
          <w:p w14:paraId="37209D82" w14:textId="77777777" w:rsidR="00A33418" w:rsidRPr="00451BD3" w:rsidRDefault="00A33418" w:rsidP="007819FB">
            <w:pPr>
              <w:pStyle w:val="Tabletext"/>
              <w:keepNext/>
              <w:keepLines/>
              <w:jc w:val="right"/>
            </w:pPr>
            <w:r w:rsidRPr="00451BD3">
              <w:t>–</w:t>
            </w:r>
          </w:p>
        </w:tc>
        <w:tc>
          <w:tcPr>
            <w:tcW w:w="989" w:type="dxa"/>
            <w:vAlign w:val="bottom"/>
          </w:tcPr>
          <w:p w14:paraId="79475033" w14:textId="77777777" w:rsidR="00A33418" w:rsidRPr="00451BD3" w:rsidRDefault="00A33418" w:rsidP="007819FB">
            <w:pPr>
              <w:pStyle w:val="Tabletext"/>
              <w:keepNext/>
              <w:keepLines/>
              <w:jc w:val="right"/>
            </w:pPr>
            <w:r w:rsidRPr="00451BD3">
              <w:t>–</w:t>
            </w:r>
          </w:p>
        </w:tc>
        <w:tc>
          <w:tcPr>
            <w:tcW w:w="988" w:type="dxa"/>
            <w:vAlign w:val="bottom"/>
          </w:tcPr>
          <w:p w14:paraId="3FDCBBC6" w14:textId="77777777" w:rsidR="00A33418" w:rsidRPr="00451BD3" w:rsidRDefault="00A33418" w:rsidP="007819FB">
            <w:pPr>
              <w:pStyle w:val="Tabletext"/>
              <w:keepNext/>
              <w:keepLines/>
              <w:jc w:val="right"/>
            </w:pPr>
            <w:r w:rsidRPr="00451BD3">
              <w:t>–</w:t>
            </w:r>
          </w:p>
        </w:tc>
        <w:tc>
          <w:tcPr>
            <w:tcW w:w="988" w:type="dxa"/>
            <w:vAlign w:val="bottom"/>
          </w:tcPr>
          <w:p w14:paraId="121C6F87" w14:textId="7C18EAD4" w:rsidR="00A33418" w:rsidRPr="00451BD3" w:rsidRDefault="00797811" w:rsidP="007819FB">
            <w:pPr>
              <w:pStyle w:val="Tabletext"/>
              <w:keepNext/>
              <w:keepLines/>
              <w:jc w:val="right"/>
            </w:pPr>
            <w:r>
              <w:t>60.0</w:t>
            </w:r>
          </w:p>
        </w:tc>
        <w:tc>
          <w:tcPr>
            <w:tcW w:w="989" w:type="dxa"/>
            <w:vAlign w:val="bottom"/>
          </w:tcPr>
          <w:p w14:paraId="67EF444A" w14:textId="62F5D228" w:rsidR="00A33418" w:rsidRPr="00716EDB" w:rsidRDefault="00797811" w:rsidP="007819FB">
            <w:pPr>
              <w:pStyle w:val="Tabletext"/>
              <w:keepNext/>
              <w:keepLines/>
              <w:jc w:val="right"/>
            </w:pPr>
            <w:r>
              <w:t>60.0</w:t>
            </w:r>
          </w:p>
        </w:tc>
      </w:tr>
      <w:tr w:rsidR="00A33418" w:rsidRPr="00716EDB" w14:paraId="6F1BB390" w14:textId="77777777" w:rsidTr="00797811">
        <w:tc>
          <w:tcPr>
            <w:tcW w:w="2552" w:type="dxa"/>
            <w:vAlign w:val="center"/>
          </w:tcPr>
          <w:p w14:paraId="7F767D40" w14:textId="38171BBE" w:rsidR="00A33418" w:rsidRPr="00716EDB" w:rsidRDefault="00797811" w:rsidP="00797811">
            <w:pPr>
              <w:pStyle w:val="Tabletext"/>
              <w:keepNext/>
              <w:keepLines/>
            </w:pPr>
            <w:r>
              <w:rPr>
                <w:lang w:val="en-US" w:eastAsia="nl-NL"/>
              </w:rPr>
              <w:t xml:space="preserve">Other </w:t>
            </w:r>
            <w:r w:rsidRPr="004B1601">
              <w:rPr>
                <w:lang w:val="en-US" w:eastAsia="nl-NL"/>
              </w:rPr>
              <w:t>comprehensive income</w:t>
            </w:r>
            <w:r>
              <w:rPr>
                <w:lang w:val="en-US" w:eastAsia="nl-NL"/>
              </w:rPr>
              <w:t xml:space="preserve"> for the year</w:t>
            </w:r>
            <w:r w:rsidRPr="00716EDB">
              <w:rPr>
                <w:lang w:val="en-US" w:eastAsia="nl-NL"/>
              </w:rPr>
              <w:t xml:space="preserve"> </w:t>
            </w:r>
          </w:p>
        </w:tc>
        <w:tc>
          <w:tcPr>
            <w:tcW w:w="567" w:type="dxa"/>
          </w:tcPr>
          <w:p w14:paraId="7FB002B2" w14:textId="77777777" w:rsidR="00A33418" w:rsidRPr="00716EDB" w:rsidRDefault="00A33418" w:rsidP="007819FB">
            <w:pPr>
              <w:pStyle w:val="Tabletext"/>
              <w:keepNext/>
              <w:keepLines/>
              <w:jc w:val="right"/>
            </w:pPr>
          </w:p>
        </w:tc>
        <w:tc>
          <w:tcPr>
            <w:tcW w:w="988" w:type="dxa"/>
            <w:vAlign w:val="bottom"/>
          </w:tcPr>
          <w:p w14:paraId="1E647003" w14:textId="77777777" w:rsidR="00A33418" w:rsidRPr="00716EDB" w:rsidRDefault="00A33418" w:rsidP="007819FB">
            <w:pPr>
              <w:pStyle w:val="Tabletext"/>
              <w:keepNext/>
              <w:keepLines/>
              <w:jc w:val="right"/>
            </w:pPr>
            <w:r w:rsidRPr="00716EDB">
              <w:t>–</w:t>
            </w:r>
          </w:p>
        </w:tc>
        <w:tc>
          <w:tcPr>
            <w:tcW w:w="988" w:type="dxa"/>
            <w:vAlign w:val="bottom"/>
          </w:tcPr>
          <w:p w14:paraId="0E29D49F" w14:textId="77777777" w:rsidR="00A33418" w:rsidRPr="00716EDB" w:rsidRDefault="00A33418" w:rsidP="007819FB">
            <w:pPr>
              <w:pStyle w:val="Tabletext"/>
              <w:keepNext/>
              <w:keepLines/>
              <w:jc w:val="right"/>
            </w:pPr>
            <w:r w:rsidRPr="00716EDB">
              <w:t>–</w:t>
            </w:r>
          </w:p>
        </w:tc>
        <w:tc>
          <w:tcPr>
            <w:tcW w:w="989" w:type="dxa"/>
            <w:vAlign w:val="bottom"/>
          </w:tcPr>
          <w:p w14:paraId="75CE8DB5" w14:textId="77777777" w:rsidR="00A33418" w:rsidRPr="00716EDB" w:rsidRDefault="00A33418" w:rsidP="007819FB">
            <w:pPr>
              <w:pStyle w:val="Tabletext"/>
              <w:keepNext/>
              <w:keepLines/>
              <w:jc w:val="right"/>
            </w:pPr>
            <w:r w:rsidRPr="00716EDB">
              <w:t>–</w:t>
            </w:r>
          </w:p>
        </w:tc>
        <w:tc>
          <w:tcPr>
            <w:tcW w:w="988" w:type="dxa"/>
            <w:vAlign w:val="bottom"/>
          </w:tcPr>
          <w:p w14:paraId="101F5091" w14:textId="77777777" w:rsidR="00A33418" w:rsidRPr="00716EDB" w:rsidRDefault="00A33418" w:rsidP="007819FB">
            <w:pPr>
              <w:pStyle w:val="Tabletext"/>
              <w:keepNext/>
              <w:keepLines/>
              <w:jc w:val="right"/>
            </w:pPr>
            <w:r w:rsidRPr="00716EDB">
              <w:t>–</w:t>
            </w:r>
          </w:p>
        </w:tc>
        <w:tc>
          <w:tcPr>
            <w:tcW w:w="988" w:type="dxa"/>
            <w:vAlign w:val="bottom"/>
          </w:tcPr>
          <w:p w14:paraId="1C628F3D" w14:textId="6EBDB9BD" w:rsidR="00A33418" w:rsidRPr="00716EDB" w:rsidRDefault="00797811" w:rsidP="007819FB">
            <w:pPr>
              <w:pStyle w:val="Tabletext"/>
              <w:keepNext/>
              <w:keepLines/>
              <w:jc w:val="right"/>
            </w:pPr>
            <w:r w:rsidRPr="00716EDB">
              <w:t>–</w:t>
            </w:r>
          </w:p>
        </w:tc>
        <w:tc>
          <w:tcPr>
            <w:tcW w:w="989" w:type="dxa"/>
            <w:vAlign w:val="bottom"/>
          </w:tcPr>
          <w:p w14:paraId="0C1DD25B" w14:textId="7F8B8815" w:rsidR="00A33418" w:rsidRPr="00716EDB" w:rsidRDefault="00797811" w:rsidP="007819FB">
            <w:pPr>
              <w:pStyle w:val="Tabletext"/>
              <w:keepNext/>
              <w:keepLines/>
              <w:jc w:val="right"/>
            </w:pPr>
            <w:r w:rsidRPr="00716EDB">
              <w:t>–</w:t>
            </w:r>
          </w:p>
        </w:tc>
      </w:tr>
      <w:tr w:rsidR="00A33418" w:rsidRPr="00716EDB" w14:paraId="37A4F053" w14:textId="77777777" w:rsidTr="00797811">
        <w:tc>
          <w:tcPr>
            <w:tcW w:w="2552" w:type="dxa"/>
            <w:vAlign w:val="center"/>
          </w:tcPr>
          <w:p w14:paraId="14C49898" w14:textId="77777777" w:rsidR="00A33418" w:rsidRPr="00716EDB" w:rsidRDefault="00A33418" w:rsidP="007819FB">
            <w:pPr>
              <w:pStyle w:val="Tabletext"/>
              <w:rPr>
                <w:lang w:val="en-US" w:eastAsia="nl-NL"/>
              </w:rPr>
            </w:pPr>
            <w:r w:rsidRPr="00716EDB">
              <w:rPr>
                <w:lang w:val="en-US" w:eastAsia="nl-NL"/>
              </w:rPr>
              <w:t>Share-based payments</w:t>
            </w:r>
          </w:p>
        </w:tc>
        <w:tc>
          <w:tcPr>
            <w:tcW w:w="567" w:type="dxa"/>
          </w:tcPr>
          <w:p w14:paraId="551ECDAB" w14:textId="77777777" w:rsidR="00A33418" w:rsidRPr="00716EDB" w:rsidRDefault="00A33418" w:rsidP="007819FB">
            <w:pPr>
              <w:pStyle w:val="Tabletext"/>
              <w:jc w:val="right"/>
            </w:pPr>
          </w:p>
        </w:tc>
        <w:tc>
          <w:tcPr>
            <w:tcW w:w="988" w:type="dxa"/>
            <w:vAlign w:val="bottom"/>
          </w:tcPr>
          <w:p w14:paraId="19C4F9C8" w14:textId="77777777" w:rsidR="00A33418" w:rsidRPr="00716EDB" w:rsidRDefault="00A33418" w:rsidP="007819FB">
            <w:pPr>
              <w:pStyle w:val="Tabletext"/>
              <w:jc w:val="right"/>
            </w:pPr>
            <w:r w:rsidRPr="00716EDB">
              <w:t>–</w:t>
            </w:r>
          </w:p>
        </w:tc>
        <w:tc>
          <w:tcPr>
            <w:tcW w:w="988" w:type="dxa"/>
            <w:vAlign w:val="bottom"/>
          </w:tcPr>
          <w:p w14:paraId="34AF2D45" w14:textId="77777777" w:rsidR="00A33418" w:rsidRPr="00716EDB" w:rsidRDefault="00A33418" w:rsidP="007819FB">
            <w:pPr>
              <w:pStyle w:val="Tabletext"/>
              <w:jc w:val="right"/>
            </w:pPr>
            <w:r w:rsidRPr="00716EDB">
              <w:t>–</w:t>
            </w:r>
          </w:p>
        </w:tc>
        <w:tc>
          <w:tcPr>
            <w:tcW w:w="989" w:type="dxa"/>
            <w:vAlign w:val="bottom"/>
          </w:tcPr>
          <w:p w14:paraId="3F689213" w14:textId="77777777" w:rsidR="00A33418" w:rsidRPr="00716EDB" w:rsidRDefault="00A33418" w:rsidP="007819FB">
            <w:pPr>
              <w:pStyle w:val="Tabletext"/>
              <w:jc w:val="right"/>
            </w:pPr>
            <w:r w:rsidRPr="00716EDB">
              <w:t>–</w:t>
            </w:r>
          </w:p>
        </w:tc>
        <w:tc>
          <w:tcPr>
            <w:tcW w:w="988" w:type="dxa"/>
            <w:vAlign w:val="bottom"/>
          </w:tcPr>
          <w:p w14:paraId="29B8ACDC" w14:textId="77777777" w:rsidR="00A33418" w:rsidRPr="00716EDB" w:rsidRDefault="00A33418" w:rsidP="007819FB">
            <w:pPr>
              <w:pStyle w:val="Tabletext"/>
              <w:jc w:val="right"/>
            </w:pPr>
            <w:r w:rsidRPr="00716EDB">
              <w:t>–</w:t>
            </w:r>
          </w:p>
        </w:tc>
        <w:tc>
          <w:tcPr>
            <w:tcW w:w="988" w:type="dxa"/>
            <w:vAlign w:val="bottom"/>
          </w:tcPr>
          <w:p w14:paraId="2CCC321D" w14:textId="13A72F2E" w:rsidR="00A33418" w:rsidRPr="003B4874" w:rsidRDefault="00F0776B" w:rsidP="007819FB">
            <w:pPr>
              <w:pStyle w:val="Tabletext"/>
              <w:jc w:val="right"/>
            </w:pPr>
            <w:r>
              <w:t>0.7</w:t>
            </w:r>
          </w:p>
        </w:tc>
        <w:tc>
          <w:tcPr>
            <w:tcW w:w="989" w:type="dxa"/>
            <w:vAlign w:val="bottom"/>
          </w:tcPr>
          <w:p w14:paraId="30AB533C" w14:textId="0FC9B5AE" w:rsidR="00A33418" w:rsidRPr="00716EDB" w:rsidRDefault="00F0776B" w:rsidP="007819FB">
            <w:pPr>
              <w:pStyle w:val="Tabletext"/>
              <w:jc w:val="right"/>
            </w:pPr>
            <w:r>
              <w:t>0.7</w:t>
            </w:r>
          </w:p>
        </w:tc>
      </w:tr>
      <w:tr w:rsidR="00A33418" w:rsidRPr="00716EDB" w14:paraId="37B59D8E" w14:textId="77777777" w:rsidTr="00A33418">
        <w:tc>
          <w:tcPr>
            <w:tcW w:w="2552" w:type="dxa"/>
            <w:vAlign w:val="center"/>
          </w:tcPr>
          <w:p w14:paraId="4DA47D96" w14:textId="77777777" w:rsidR="00A33418" w:rsidRPr="00716EDB" w:rsidRDefault="00A33418" w:rsidP="007819FB">
            <w:pPr>
              <w:pStyle w:val="Tabletext"/>
              <w:rPr>
                <w:lang w:val="en-US" w:eastAsia="nl-NL"/>
              </w:rPr>
            </w:pPr>
            <w:r w:rsidRPr="00716EDB">
              <w:rPr>
                <w:lang w:val="en-US" w:eastAsia="nl-NL"/>
              </w:rPr>
              <w:t xml:space="preserve">Deferred tax on share-based payments </w:t>
            </w:r>
          </w:p>
        </w:tc>
        <w:tc>
          <w:tcPr>
            <w:tcW w:w="567" w:type="dxa"/>
          </w:tcPr>
          <w:p w14:paraId="3A72D0BD" w14:textId="77777777" w:rsidR="00A33418" w:rsidRPr="00716EDB" w:rsidRDefault="00A33418" w:rsidP="007819FB">
            <w:pPr>
              <w:pStyle w:val="Tabletext"/>
              <w:jc w:val="right"/>
            </w:pPr>
          </w:p>
        </w:tc>
        <w:tc>
          <w:tcPr>
            <w:tcW w:w="988" w:type="dxa"/>
            <w:vAlign w:val="bottom"/>
          </w:tcPr>
          <w:p w14:paraId="61BEB60E" w14:textId="77777777" w:rsidR="00A33418" w:rsidRPr="00716EDB" w:rsidRDefault="00A33418" w:rsidP="007819FB">
            <w:pPr>
              <w:pStyle w:val="Tabletext"/>
              <w:jc w:val="right"/>
            </w:pPr>
            <w:r w:rsidRPr="00716EDB">
              <w:t>–</w:t>
            </w:r>
          </w:p>
        </w:tc>
        <w:tc>
          <w:tcPr>
            <w:tcW w:w="988" w:type="dxa"/>
            <w:vAlign w:val="bottom"/>
          </w:tcPr>
          <w:p w14:paraId="6C5B174B" w14:textId="77777777" w:rsidR="00A33418" w:rsidRPr="00716EDB" w:rsidRDefault="00A33418" w:rsidP="007819FB">
            <w:pPr>
              <w:pStyle w:val="Tabletext"/>
              <w:jc w:val="right"/>
            </w:pPr>
            <w:r w:rsidRPr="00716EDB">
              <w:t>–</w:t>
            </w:r>
          </w:p>
        </w:tc>
        <w:tc>
          <w:tcPr>
            <w:tcW w:w="989" w:type="dxa"/>
            <w:vAlign w:val="bottom"/>
          </w:tcPr>
          <w:p w14:paraId="7D997AC6" w14:textId="77777777" w:rsidR="00A33418" w:rsidRPr="00716EDB" w:rsidRDefault="00A33418" w:rsidP="007819FB">
            <w:pPr>
              <w:pStyle w:val="Tabletext"/>
              <w:jc w:val="right"/>
            </w:pPr>
            <w:r w:rsidRPr="00716EDB">
              <w:t>–</w:t>
            </w:r>
          </w:p>
        </w:tc>
        <w:tc>
          <w:tcPr>
            <w:tcW w:w="988" w:type="dxa"/>
            <w:vAlign w:val="bottom"/>
          </w:tcPr>
          <w:p w14:paraId="0407F8BE" w14:textId="77777777" w:rsidR="00A33418" w:rsidRPr="00716EDB" w:rsidRDefault="00A33418" w:rsidP="007819FB">
            <w:pPr>
              <w:pStyle w:val="Tabletext"/>
              <w:jc w:val="right"/>
            </w:pPr>
            <w:r w:rsidRPr="00716EDB">
              <w:t>–</w:t>
            </w:r>
          </w:p>
        </w:tc>
        <w:tc>
          <w:tcPr>
            <w:tcW w:w="988" w:type="dxa"/>
            <w:vAlign w:val="bottom"/>
          </w:tcPr>
          <w:p w14:paraId="40DE3969" w14:textId="484B9001" w:rsidR="00A33418" w:rsidRPr="00F86663" w:rsidRDefault="00F0776B" w:rsidP="007819FB">
            <w:pPr>
              <w:pStyle w:val="Tabletext"/>
              <w:jc w:val="right"/>
            </w:pPr>
            <w:r>
              <w:t>(0.1)</w:t>
            </w:r>
          </w:p>
        </w:tc>
        <w:tc>
          <w:tcPr>
            <w:tcW w:w="989" w:type="dxa"/>
            <w:vAlign w:val="bottom"/>
          </w:tcPr>
          <w:p w14:paraId="284D4750" w14:textId="45CF288B" w:rsidR="00A33418" w:rsidRPr="00F86663" w:rsidRDefault="00F0776B" w:rsidP="007819FB">
            <w:pPr>
              <w:pStyle w:val="Tabletext"/>
              <w:jc w:val="right"/>
            </w:pPr>
            <w:r>
              <w:t>(0.1)</w:t>
            </w:r>
          </w:p>
        </w:tc>
      </w:tr>
      <w:tr w:rsidR="00A33418" w:rsidRPr="00716EDB" w14:paraId="7C1CBCC8" w14:textId="77777777" w:rsidTr="00A33418">
        <w:tc>
          <w:tcPr>
            <w:tcW w:w="2552" w:type="dxa"/>
            <w:vAlign w:val="center"/>
          </w:tcPr>
          <w:p w14:paraId="4D6A3417" w14:textId="77777777" w:rsidR="00A33418" w:rsidRPr="00716EDB" w:rsidRDefault="00A33418" w:rsidP="007819FB">
            <w:pPr>
              <w:pStyle w:val="Tabletext"/>
              <w:rPr>
                <w:lang w:val="en-US" w:eastAsia="nl-NL"/>
              </w:rPr>
            </w:pPr>
            <w:r>
              <w:rPr>
                <w:lang w:val="en-US" w:eastAsia="nl-NL"/>
              </w:rPr>
              <w:t>Purchase of treasury shares</w:t>
            </w:r>
          </w:p>
        </w:tc>
        <w:tc>
          <w:tcPr>
            <w:tcW w:w="567" w:type="dxa"/>
          </w:tcPr>
          <w:p w14:paraId="7E5D3895" w14:textId="3D45C38A" w:rsidR="00A33418" w:rsidRPr="00716EDB" w:rsidRDefault="00A33418" w:rsidP="007B23F9">
            <w:pPr>
              <w:pStyle w:val="Tabletext"/>
              <w:jc w:val="right"/>
            </w:pPr>
            <w:r>
              <w:t>1</w:t>
            </w:r>
            <w:r w:rsidR="007B23F9">
              <w:t>9</w:t>
            </w:r>
          </w:p>
        </w:tc>
        <w:tc>
          <w:tcPr>
            <w:tcW w:w="988" w:type="dxa"/>
            <w:vAlign w:val="bottom"/>
          </w:tcPr>
          <w:p w14:paraId="5950B15A" w14:textId="77777777" w:rsidR="00A33418" w:rsidRPr="00716EDB" w:rsidRDefault="00A33418" w:rsidP="007819FB">
            <w:pPr>
              <w:pStyle w:val="Tabletext"/>
              <w:jc w:val="right"/>
            </w:pPr>
            <w:r w:rsidRPr="00716EDB">
              <w:t>–</w:t>
            </w:r>
          </w:p>
        </w:tc>
        <w:tc>
          <w:tcPr>
            <w:tcW w:w="988" w:type="dxa"/>
            <w:vAlign w:val="bottom"/>
          </w:tcPr>
          <w:p w14:paraId="07B0A20A" w14:textId="77777777" w:rsidR="00A33418" w:rsidRPr="00716EDB" w:rsidRDefault="00A33418" w:rsidP="007819FB">
            <w:pPr>
              <w:pStyle w:val="Tabletext"/>
              <w:jc w:val="right"/>
            </w:pPr>
            <w:r w:rsidRPr="00716EDB">
              <w:t>–</w:t>
            </w:r>
          </w:p>
        </w:tc>
        <w:tc>
          <w:tcPr>
            <w:tcW w:w="989" w:type="dxa"/>
            <w:vAlign w:val="bottom"/>
          </w:tcPr>
          <w:p w14:paraId="1E451308" w14:textId="77777777" w:rsidR="00A33418" w:rsidRPr="00716EDB" w:rsidRDefault="00A33418" w:rsidP="007819FB">
            <w:pPr>
              <w:pStyle w:val="Tabletext"/>
              <w:jc w:val="right"/>
            </w:pPr>
            <w:r w:rsidRPr="00716EDB">
              <w:t>–</w:t>
            </w:r>
          </w:p>
        </w:tc>
        <w:tc>
          <w:tcPr>
            <w:tcW w:w="988" w:type="dxa"/>
            <w:vAlign w:val="bottom"/>
          </w:tcPr>
          <w:p w14:paraId="5AF7D2A0" w14:textId="77777777" w:rsidR="00A33418" w:rsidRPr="002829C3" w:rsidRDefault="00A33418" w:rsidP="007819FB">
            <w:pPr>
              <w:pStyle w:val="Tabletext"/>
              <w:jc w:val="right"/>
            </w:pPr>
            <w:r w:rsidRPr="002829C3">
              <w:t>(5.6)</w:t>
            </w:r>
          </w:p>
        </w:tc>
        <w:tc>
          <w:tcPr>
            <w:tcW w:w="988" w:type="dxa"/>
            <w:vAlign w:val="bottom"/>
          </w:tcPr>
          <w:p w14:paraId="70583138" w14:textId="77777777" w:rsidR="00A33418" w:rsidRPr="00F86663" w:rsidRDefault="00A33418" w:rsidP="007819FB">
            <w:pPr>
              <w:pStyle w:val="Tabletext"/>
              <w:jc w:val="right"/>
            </w:pPr>
            <w:r w:rsidRPr="00F86663">
              <w:t>–</w:t>
            </w:r>
          </w:p>
        </w:tc>
        <w:tc>
          <w:tcPr>
            <w:tcW w:w="989" w:type="dxa"/>
            <w:vAlign w:val="bottom"/>
          </w:tcPr>
          <w:p w14:paraId="02651D2B" w14:textId="77777777" w:rsidR="00A33418" w:rsidRPr="00F86663" w:rsidRDefault="00A33418" w:rsidP="007819FB">
            <w:pPr>
              <w:pStyle w:val="Tabletext"/>
              <w:jc w:val="right"/>
            </w:pPr>
            <w:r w:rsidRPr="00F86663">
              <w:t>(5.6)</w:t>
            </w:r>
          </w:p>
        </w:tc>
      </w:tr>
      <w:tr w:rsidR="00A33418" w:rsidRPr="00716EDB" w14:paraId="2C8A8889" w14:textId="77777777" w:rsidTr="00A33418">
        <w:tc>
          <w:tcPr>
            <w:tcW w:w="2552" w:type="dxa"/>
            <w:tcBorders>
              <w:bottom w:val="single" w:sz="4" w:space="0" w:color="93B7BB"/>
            </w:tcBorders>
            <w:vAlign w:val="center"/>
          </w:tcPr>
          <w:p w14:paraId="75832D68" w14:textId="77777777" w:rsidR="00A33418" w:rsidRPr="00716EDB" w:rsidRDefault="00A33418" w:rsidP="007819FB">
            <w:pPr>
              <w:pStyle w:val="Tabletext"/>
              <w:rPr>
                <w:lang w:val="en-US" w:eastAsia="nl-NL"/>
              </w:rPr>
            </w:pPr>
            <w:r w:rsidRPr="00716EDB">
              <w:rPr>
                <w:lang w:val="en-US" w:eastAsia="nl-NL"/>
              </w:rPr>
              <w:t>D</w:t>
            </w:r>
            <w:r>
              <w:rPr>
                <w:lang w:val="en-US" w:eastAsia="nl-NL"/>
              </w:rPr>
              <w:t>ivid</w:t>
            </w:r>
            <w:r w:rsidRPr="00716EDB">
              <w:rPr>
                <w:lang w:val="en-US" w:eastAsia="nl-NL"/>
              </w:rPr>
              <w:t>e</w:t>
            </w:r>
            <w:r>
              <w:rPr>
                <w:lang w:val="en-US" w:eastAsia="nl-NL"/>
              </w:rPr>
              <w:t>n</w:t>
            </w:r>
            <w:r w:rsidRPr="00716EDB">
              <w:rPr>
                <w:lang w:val="en-US" w:eastAsia="nl-NL"/>
              </w:rPr>
              <w:t xml:space="preserve">d </w:t>
            </w:r>
            <w:r>
              <w:rPr>
                <w:lang w:val="en-US" w:eastAsia="nl-NL"/>
              </w:rPr>
              <w:t xml:space="preserve">paid </w:t>
            </w:r>
          </w:p>
        </w:tc>
        <w:tc>
          <w:tcPr>
            <w:tcW w:w="567" w:type="dxa"/>
            <w:tcBorders>
              <w:bottom w:val="single" w:sz="4" w:space="0" w:color="93B7BB"/>
            </w:tcBorders>
          </w:tcPr>
          <w:p w14:paraId="4471DD27" w14:textId="77777777" w:rsidR="00A33418" w:rsidRPr="00716EDB" w:rsidRDefault="00A33418" w:rsidP="007819FB">
            <w:pPr>
              <w:pStyle w:val="Tabletext"/>
              <w:jc w:val="right"/>
            </w:pPr>
            <w:r>
              <w:t>11</w:t>
            </w:r>
          </w:p>
        </w:tc>
        <w:tc>
          <w:tcPr>
            <w:tcW w:w="988" w:type="dxa"/>
            <w:tcBorders>
              <w:bottom w:val="single" w:sz="4" w:space="0" w:color="93B7BB"/>
            </w:tcBorders>
            <w:vAlign w:val="bottom"/>
          </w:tcPr>
          <w:p w14:paraId="5F3DEA12" w14:textId="77777777" w:rsidR="00A33418" w:rsidRPr="00716EDB" w:rsidRDefault="00A33418" w:rsidP="007819FB">
            <w:pPr>
              <w:pStyle w:val="Tabletext"/>
              <w:jc w:val="right"/>
            </w:pPr>
            <w:r w:rsidRPr="00716EDB">
              <w:t>–</w:t>
            </w:r>
          </w:p>
        </w:tc>
        <w:tc>
          <w:tcPr>
            <w:tcW w:w="988" w:type="dxa"/>
            <w:tcBorders>
              <w:bottom w:val="single" w:sz="4" w:space="0" w:color="93B7BB"/>
            </w:tcBorders>
            <w:vAlign w:val="bottom"/>
          </w:tcPr>
          <w:p w14:paraId="6549AAA0" w14:textId="77777777" w:rsidR="00A33418" w:rsidRPr="00716EDB" w:rsidRDefault="00A33418" w:rsidP="007819FB">
            <w:pPr>
              <w:pStyle w:val="Tabletext"/>
              <w:jc w:val="right"/>
            </w:pPr>
            <w:r w:rsidRPr="00716EDB">
              <w:t>–</w:t>
            </w:r>
          </w:p>
        </w:tc>
        <w:tc>
          <w:tcPr>
            <w:tcW w:w="989" w:type="dxa"/>
            <w:tcBorders>
              <w:bottom w:val="single" w:sz="4" w:space="0" w:color="93B7BB"/>
            </w:tcBorders>
            <w:vAlign w:val="bottom"/>
          </w:tcPr>
          <w:p w14:paraId="5623A027" w14:textId="77777777" w:rsidR="00A33418" w:rsidRPr="00716EDB" w:rsidRDefault="00A33418" w:rsidP="007819FB">
            <w:pPr>
              <w:pStyle w:val="Tabletext"/>
              <w:jc w:val="right"/>
            </w:pPr>
            <w:r w:rsidRPr="00716EDB">
              <w:t>–</w:t>
            </w:r>
          </w:p>
        </w:tc>
        <w:tc>
          <w:tcPr>
            <w:tcW w:w="988" w:type="dxa"/>
            <w:tcBorders>
              <w:bottom w:val="single" w:sz="4" w:space="0" w:color="93B7BB"/>
            </w:tcBorders>
            <w:vAlign w:val="bottom"/>
          </w:tcPr>
          <w:p w14:paraId="2FC3E4D1" w14:textId="77777777" w:rsidR="00A33418" w:rsidRPr="003A2EAB" w:rsidRDefault="00A33418" w:rsidP="007819FB">
            <w:pPr>
              <w:pStyle w:val="Tabletext"/>
              <w:jc w:val="right"/>
            </w:pPr>
            <w:r w:rsidRPr="00716EDB">
              <w:t>–</w:t>
            </w:r>
          </w:p>
        </w:tc>
        <w:tc>
          <w:tcPr>
            <w:tcW w:w="988" w:type="dxa"/>
            <w:tcBorders>
              <w:bottom w:val="single" w:sz="4" w:space="0" w:color="93B7BB"/>
            </w:tcBorders>
            <w:vAlign w:val="bottom"/>
          </w:tcPr>
          <w:p w14:paraId="092DE7F1" w14:textId="577E449E" w:rsidR="00A33418" w:rsidRPr="00F86663" w:rsidRDefault="00F0776B" w:rsidP="007819FB">
            <w:pPr>
              <w:pStyle w:val="Tabletext"/>
              <w:jc w:val="right"/>
            </w:pPr>
            <w:r>
              <w:t>(12.4)</w:t>
            </w:r>
          </w:p>
        </w:tc>
        <w:tc>
          <w:tcPr>
            <w:tcW w:w="989" w:type="dxa"/>
            <w:tcBorders>
              <w:bottom w:val="single" w:sz="4" w:space="0" w:color="93B7BB"/>
            </w:tcBorders>
            <w:vAlign w:val="bottom"/>
          </w:tcPr>
          <w:p w14:paraId="4127BD00" w14:textId="09F02282" w:rsidR="00A33418" w:rsidRPr="00F86663" w:rsidRDefault="00F0776B" w:rsidP="007819FB">
            <w:pPr>
              <w:pStyle w:val="Tabletext"/>
              <w:jc w:val="right"/>
            </w:pPr>
            <w:r>
              <w:t>(12.4)</w:t>
            </w:r>
          </w:p>
        </w:tc>
      </w:tr>
      <w:tr w:rsidR="00A33418" w:rsidRPr="00716EDB" w14:paraId="702D93C9" w14:textId="77777777" w:rsidTr="00A33418">
        <w:tc>
          <w:tcPr>
            <w:tcW w:w="2552" w:type="dxa"/>
            <w:tcBorders>
              <w:top w:val="single" w:sz="4" w:space="0" w:color="93B7BB"/>
              <w:bottom w:val="single" w:sz="4" w:space="0" w:color="93B7BB"/>
            </w:tcBorders>
            <w:vAlign w:val="center"/>
          </w:tcPr>
          <w:p w14:paraId="59A4B9F3" w14:textId="769A9E31" w:rsidR="00A33418" w:rsidRPr="00716EDB" w:rsidRDefault="00A33418" w:rsidP="007819FB">
            <w:pPr>
              <w:pStyle w:val="Tabletext"/>
              <w:rPr>
                <w:b/>
              </w:rPr>
            </w:pPr>
            <w:r w:rsidRPr="00716EDB">
              <w:rPr>
                <w:b/>
                <w:lang w:val="en-US" w:eastAsia="nl-NL"/>
              </w:rPr>
              <w:t>Balance at 31 December 201</w:t>
            </w:r>
            <w:r>
              <w:rPr>
                <w:b/>
                <w:lang w:val="en-US" w:eastAsia="nl-NL"/>
              </w:rPr>
              <w:t>5</w:t>
            </w:r>
          </w:p>
        </w:tc>
        <w:tc>
          <w:tcPr>
            <w:tcW w:w="567" w:type="dxa"/>
            <w:tcBorders>
              <w:top w:val="single" w:sz="4" w:space="0" w:color="93B7BB"/>
              <w:bottom w:val="single" w:sz="4" w:space="0" w:color="93B7BB"/>
            </w:tcBorders>
          </w:tcPr>
          <w:p w14:paraId="1F7E7260" w14:textId="77777777" w:rsidR="00A33418" w:rsidRPr="006D1B0B" w:rsidRDefault="00A33418" w:rsidP="007819FB">
            <w:pPr>
              <w:pStyle w:val="Tabletext"/>
              <w:jc w:val="right"/>
              <w:rPr>
                <w:b/>
              </w:rPr>
            </w:pPr>
          </w:p>
        </w:tc>
        <w:tc>
          <w:tcPr>
            <w:tcW w:w="988" w:type="dxa"/>
            <w:tcBorders>
              <w:top w:val="single" w:sz="4" w:space="0" w:color="93B7BB"/>
              <w:bottom w:val="single" w:sz="4" w:space="0" w:color="93B7BB"/>
            </w:tcBorders>
            <w:vAlign w:val="bottom"/>
          </w:tcPr>
          <w:p w14:paraId="50F69135" w14:textId="77777777" w:rsidR="00A33418" w:rsidRPr="006D1B0B" w:rsidRDefault="00A33418" w:rsidP="007819FB">
            <w:pPr>
              <w:pStyle w:val="Tabletext"/>
              <w:jc w:val="right"/>
              <w:rPr>
                <w:b/>
              </w:rPr>
            </w:pPr>
            <w:r w:rsidRPr="006D1B0B">
              <w:rPr>
                <w:b/>
              </w:rPr>
              <w:t>4.0</w:t>
            </w:r>
          </w:p>
        </w:tc>
        <w:tc>
          <w:tcPr>
            <w:tcW w:w="988" w:type="dxa"/>
            <w:tcBorders>
              <w:top w:val="single" w:sz="4" w:space="0" w:color="93B7BB"/>
              <w:bottom w:val="single" w:sz="4" w:space="0" w:color="93B7BB"/>
            </w:tcBorders>
            <w:vAlign w:val="bottom"/>
          </w:tcPr>
          <w:p w14:paraId="1E2D9145" w14:textId="77777777" w:rsidR="00A33418" w:rsidRPr="006D1B0B" w:rsidRDefault="00A33418" w:rsidP="007819FB">
            <w:pPr>
              <w:pStyle w:val="Tabletext"/>
              <w:jc w:val="right"/>
              <w:rPr>
                <w:b/>
              </w:rPr>
            </w:pPr>
            <w:r w:rsidRPr="006D1B0B">
              <w:rPr>
                <w:b/>
              </w:rPr>
              <w:t>826.9</w:t>
            </w:r>
          </w:p>
        </w:tc>
        <w:tc>
          <w:tcPr>
            <w:tcW w:w="989" w:type="dxa"/>
            <w:tcBorders>
              <w:top w:val="single" w:sz="4" w:space="0" w:color="93B7BB"/>
              <w:bottom w:val="single" w:sz="4" w:space="0" w:color="93B7BB"/>
            </w:tcBorders>
            <w:vAlign w:val="bottom"/>
          </w:tcPr>
          <w:p w14:paraId="552AD6F0" w14:textId="77777777" w:rsidR="00A33418" w:rsidRPr="006D1B0B" w:rsidRDefault="00A33418" w:rsidP="007819FB">
            <w:pPr>
              <w:pStyle w:val="Tabletext"/>
              <w:jc w:val="right"/>
              <w:rPr>
                <w:b/>
              </w:rPr>
            </w:pPr>
            <w:r w:rsidRPr="006D1B0B">
              <w:rPr>
                <w:b/>
              </w:rPr>
              <w:t>376.1</w:t>
            </w:r>
          </w:p>
        </w:tc>
        <w:tc>
          <w:tcPr>
            <w:tcW w:w="988" w:type="dxa"/>
            <w:tcBorders>
              <w:top w:val="single" w:sz="4" w:space="0" w:color="93B7BB"/>
              <w:bottom w:val="single" w:sz="4" w:space="0" w:color="93B7BB"/>
            </w:tcBorders>
            <w:vAlign w:val="bottom"/>
          </w:tcPr>
          <w:p w14:paraId="67848AFA" w14:textId="77777777" w:rsidR="00A33418" w:rsidRPr="009D70E6" w:rsidRDefault="00A33418" w:rsidP="007819FB">
            <w:pPr>
              <w:pStyle w:val="Tabletext"/>
              <w:jc w:val="right"/>
              <w:rPr>
                <w:b/>
              </w:rPr>
            </w:pPr>
            <w:r w:rsidRPr="009D70E6">
              <w:rPr>
                <w:b/>
              </w:rPr>
              <w:t>(5.6)</w:t>
            </w:r>
          </w:p>
        </w:tc>
        <w:tc>
          <w:tcPr>
            <w:tcW w:w="988" w:type="dxa"/>
            <w:tcBorders>
              <w:top w:val="single" w:sz="4" w:space="0" w:color="93B7BB"/>
              <w:bottom w:val="single" w:sz="4" w:space="0" w:color="93B7BB"/>
            </w:tcBorders>
            <w:vAlign w:val="bottom"/>
          </w:tcPr>
          <w:p w14:paraId="62D49832" w14:textId="31A1AF71" w:rsidR="00A33418" w:rsidRPr="00F86663" w:rsidRDefault="00F0776B" w:rsidP="007819FB">
            <w:pPr>
              <w:pStyle w:val="Tabletext"/>
              <w:jc w:val="right"/>
              <w:rPr>
                <w:b/>
              </w:rPr>
            </w:pPr>
            <w:r>
              <w:rPr>
                <w:b/>
              </w:rPr>
              <w:t>(203.8)</w:t>
            </w:r>
          </w:p>
        </w:tc>
        <w:tc>
          <w:tcPr>
            <w:tcW w:w="989" w:type="dxa"/>
            <w:tcBorders>
              <w:top w:val="single" w:sz="4" w:space="0" w:color="93B7BB"/>
              <w:bottom w:val="single" w:sz="4" w:space="0" w:color="93B7BB"/>
            </w:tcBorders>
            <w:vAlign w:val="bottom"/>
          </w:tcPr>
          <w:p w14:paraId="10DFAE47" w14:textId="22D45B25" w:rsidR="00A33418" w:rsidRPr="00F86663" w:rsidRDefault="00F0776B" w:rsidP="007819FB">
            <w:pPr>
              <w:pStyle w:val="Tabletext"/>
              <w:jc w:val="right"/>
              <w:rPr>
                <w:b/>
              </w:rPr>
            </w:pPr>
            <w:r>
              <w:rPr>
                <w:b/>
              </w:rPr>
              <w:t>997.6</w:t>
            </w:r>
          </w:p>
        </w:tc>
      </w:tr>
    </w:tbl>
    <w:p w14:paraId="70795ECC" w14:textId="77777777" w:rsidR="006F03A1" w:rsidRDefault="006F03A1" w:rsidP="0015087B">
      <w:pPr>
        <w:pStyle w:val="Footnote"/>
      </w:pPr>
    </w:p>
    <w:p w14:paraId="3F9A5F37" w14:textId="77777777" w:rsidR="00725EE9" w:rsidRPr="00364452" w:rsidRDefault="00725EE9" w:rsidP="00B626AD">
      <w:pPr>
        <w:pStyle w:val="Heading1"/>
      </w:pPr>
      <w:r w:rsidRPr="00364452">
        <w:lastRenderedPageBreak/>
        <w:t>Consolidated balance sheet</w:t>
      </w:r>
    </w:p>
    <w:p w14:paraId="20438A1D" w14:textId="11E37969" w:rsidR="00725EE9" w:rsidRPr="00995B9E" w:rsidRDefault="00725EE9" w:rsidP="00B626AD">
      <w:pPr>
        <w:pStyle w:val="Heading3"/>
      </w:pPr>
      <w:r w:rsidRPr="00995B9E">
        <w:t>As at 31 December 201</w:t>
      </w:r>
      <w:r w:rsidR="00A33418">
        <w:t>5</w:t>
      </w:r>
    </w:p>
    <w:tbl>
      <w:tblPr>
        <w:tblW w:w="8897" w:type="dxa"/>
        <w:tblLayout w:type="fixed"/>
        <w:tblCellMar>
          <w:left w:w="0" w:type="dxa"/>
          <w:right w:w="57" w:type="dxa"/>
        </w:tblCellMar>
        <w:tblLook w:val="0000" w:firstRow="0" w:lastRow="0" w:firstColumn="0" w:lastColumn="0" w:noHBand="0" w:noVBand="0"/>
      </w:tblPr>
      <w:tblGrid>
        <w:gridCol w:w="3828"/>
        <w:gridCol w:w="1258"/>
        <w:gridCol w:w="15"/>
        <w:gridCol w:w="1218"/>
        <w:gridCol w:w="1289"/>
        <w:gridCol w:w="1289"/>
      </w:tblGrid>
      <w:tr w:rsidR="0036062A" w:rsidRPr="00594FCF" w14:paraId="39AF1181" w14:textId="77777777" w:rsidTr="0036062A">
        <w:tc>
          <w:tcPr>
            <w:tcW w:w="3828" w:type="dxa"/>
            <w:vAlign w:val="bottom"/>
          </w:tcPr>
          <w:p w14:paraId="1A8037FA" w14:textId="77777777" w:rsidR="0036062A" w:rsidRPr="0015087B" w:rsidRDefault="0036062A" w:rsidP="007819FB">
            <w:pPr>
              <w:pStyle w:val="Tableheading"/>
              <w:keepNext/>
              <w:keepLines/>
            </w:pPr>
            <w:r w:rsidRPr="0015087B">
              <w:t>(£ million)</w:t>
            </w:r>
          </w:p>
        </w:tc>
        <w:tc>
          <w:tcPr>
            <w:tcW w:w="1258" w:type="dxa"/>
            <w:vAlign w:val="bottom"/>
          </w:tcPr>
          <w:p w14:paraId="43F0200D" w14:textId="77777777" w:rsidR="0036062A" w:rsidRPr="0015087B" w:rsidRDefault="0036062A" w:rsidP="007819FB">
            <w:pPr>
              <w:pStyle w:val="Tableheading"/>
              <w:keepNext/>
              <w:keepLines/>
              <w:jc w:val="right"/>
            </w:pPr>
            <w:r w:rsidRPr="0015087B">
              <w:t>Notes</w:t>
            </w:r>
          </w:p>
        </w:tc>
        <w:tc>
          <w:tcPr>
            <w:tcW w:w="1233" w:type="dxa"/>
            <w:gridSpan w:val="2"/>
            <w:vAlign w:val="bottom"/>
          </w:tcPr>
          <w:p w14:paraId="2DC767F8" w14:textId="1D5C4F69" w:rsidR="0036062A" w:rsidRPr="00D73661" w:rsidRDefault="0036062A" w:rsidP="0036062A">
            <w:pPr>
              <w:pStyle w:val="Tableheading"/>
              <w:keepNext/>
              <w:keepLines/>
              <w:jc w:val="right"/>
              <w:rPr>
                <w:b/>
              </w:rPr>
            </w:pPr>
            <w:r w:rsidRPr="00D73661">
              <w:rPr>
                <w:b/>
              </w:rPr>
              <w:t>201</w:t>
            </w:r>
            <w:r>
              <w:rPr>
                <w:b/>
              </w:rPr>
              <w:t>5</w:t>
            </w:r>
          </w:p>
        </w:tc>
        <w:tc>
          <w:tcPr>
            <w:tcW w:w="1289" w:type="dxa"/>
            <w:vAlign w:val="bottom"/>
          </w:tcPr>
          <w:p w14:paraId="660A6ACD" w14:textId="77777777" w:rsidR="0036062A" w:rsidRDefault="0036062A" w:rsidP="007819FB">
            <w:pPr>
              <w:pStyle w:val="Tableheading"/>
              <w:keepNext/>
              <w:keepLines/>
              <w:jc w:val="right"/>
            </w:pPr>
            <w:r w:rsidRPr="0015087B">
              <w:t>201</w:t>
            </w:r>
            <w:r>
              <w:t>4</w:t>
            </w:r>
          </w:p>
          <w:p w14:paraId="38B0320F" w14:textId="77777777" w:rsidR="0036062A" w:rsidRPr="0015087B" w:rsidRDefault="0036062A" w:rsidP="007819FB">
            <w:pPr>
              <w:pStyle w:val="Tableheading"/>
              <w:keepNext/>
              <w:keepLines/>
              <w:jc w:val="right"/>
            </w:pPr>
            <w:r>
              <w:t>(As restated)</w:t>
            </w:r>
            <w:r w:rsidRPr="00E45B24">
              <w:rPr>
                <w:vertAlign w:val="superscript"/>
              </w:rPr>
              <w:t>1</w:t>
            </w:r>
          </w:p>
        </w:tc>
        <w:tc>
          <w:tcPr>
            <w:tcW w:w="1289" w:type="dxa"/>
          </w:tcPr>
          <w:p w14:paraId="11F5C648" w14:textId="3BDDBFF8" w:rsidR="0036062A" w:rsidRDefault="00F0776B" w:rsidP="007819FB">
            <w:pPr>
              <w:pStyle w:val="Tableheading"/>
              <w:keepNext/>
              <w:keepLines/>
              <w:jc w:val="right"/>
            </w:pPr>
            <w:r>
              <w:t xml:space="preserve">1 January </w:t>
            </w:r>
            <w:r w:rsidR="0036062A">
              <w:t>201</w:t>
            </w:r>
            <w:r>
              <w:t>4</w:t>
            </w:r>
          </w:p>
          <w:p w14:paraId="1CC481AA" w14:textId="77777777" w:rsidR="0036062A" w:rsidRDefault="0036062A" w:rsidP="007819FB">
            <w:pPr>
              <w:pStyle w:val="Tableheading"/>
              <w:keepNext/>
              <w:keepLines/>
              <w:jc w:val="right"/>
            </w:pPr>
            <w:r>
              <w:t>(As restated)</w:t>
            </w:r>
            <w:r w:rsidRPr="00834B2E">
              <w:rPr>
                <w:vertAlign w:val="superscript"/>
              </w:rPr>
              <w:t>1</w:t>
            </w:r>
          </w:p>
        </w:tc>
      </w:tr>
      <w:tr w:rsidR="0036062A" w:rsidRPr="00594FCF" w14:paraId="388B00FB" w14:textId="77777777" w:rsidTr="007819FB">
        <w:tc>
          <w:tcPr>
            <w:tcW w:w="3828" w:type="dxa"/>
            <w:tcBorders>
              <w:top w:val="single" w:sz="4" w:space="0" w:color="93B7BB"/>
            </w:tcBorders>
            <w:vAlign w:val="bottom"/>
          </w:tcPr>
          <w:p w14:paraId="0C3F44ED" w14:textId="77777777" w:rsidR="0036062A" w:rsidRPr="0015087B" w:rsidRDefault="0036062A" w:rsidP="007819FB">
            <w:pPr>
              <w:pStyle w:val="Tabletext"/>
              <w:keepNext/>
              <w:keepLines/>
              <w:rPr>
                <w:b/>
                <w:lang w:eastAsia="nl-NL"/>
              </w:rPr>
            </w:pPr>
            <w:r w:rsidRPr="0015087B">
              <w:rPr>
                <w:b/>
                <w:lang w:val="en-US" w:eastAsia="nl-NL"/>
              </w:rPr>
              <w:t>ASSETS</w:t>
            </w:r>
          </w:p>
        </w:tc>
        <w:tc>
          <w:tcPr>
            <w:tcW w:w="1258" w:type="dxa"/>
            <w:tcBorders>
              <w:top w:val="single" w:sz="4" w:space="0" w:color="93B7BB"/>
            </w:tcBorders>
            <w:vAlign w:val="bottom"/>
          </w:tcPr>
          <w:p w14:paraId="72440160" w14:textId="77777777" w:rsidR="0036062A" w:rsidRPr="00594FCF" w:rsidRDefault="0036062A" w:rsidP="007819FB">
            <w:pPr>
              <w:pStyle w:val="Tabletext"/>
              <w:keepNext/>
              <w:keepLines/>
              <w:jc w:val="right"/>
            </w:pPr>
          </w:p>
        </w:tc>
        <w:tc>
          <w:tcPr>
            <w:tcW w:w="1233" w:type="dxa"/>
            <w:gridSpan w:val="2"/>
            <w:tcBorders>
              <w:top w:val="single" w:sz="4" w:space="0" w:color="93B7BB"/>
            </w:tcBorders>
            <w:shd w:val="clear" w:color="auto" w:fill="EFF4F5"/>
            <w:vAlign w:val="bottom"/>
          </w:tcPr>
          <w:p w14:paraId="35F5B271" w14:textId="77777777" w:rsidR="0036062A" w:rsidRPr="00594FCF" w:rsidRDefault="0036062A" w:rsidP="007819FB">
            <w:pPr>
              <w:pStyle w:val="Tabletext"/>
              <w:keepNext/>
              <w:keepLines/>
              <w:jc w:val="right"/>
            </w:pPr>
          </w:p>
        </w:tc>
        <w:tc>
          <w:tcPr>
            <w:tcW w:w="1289" w:type="dxa"/>
            <w:tcBorders>
              <w:top w:val="single" w:sz="4" w:space="0" w:color="93B7BB"/>
            </w:tcBorders>
            <w:vAlign w:val="bottom"/>
          </w:tcPr>
          <w:p w14:paraId="2DCB688D" w14:textId="77777777" w:rsidR="0036062A" w:rsidRPr="00594FCF" w:rsidRDefault="0036062A" w:rsidP="007819FB">
            <w:pPr>
              <w:pStyle w:val="Tabletext"/>
              <w:keepNext/>
              <w:keepLines/>
              <w:jc w:val="right"/>
            </w:pPr>
          </w:p>
        </w:tc>
        <w:tc>
          <w:tcPr>
            <w:tcW w:w="1289" w:type="dxa"/>
            <w:tcBorders>
              <w:top w:val="single" w:sz="4" w:space="0" w:color="93B7BB"/>
            </w:tcBorders>
          </w:tcPr>
          <w:p w14:paraId="6F76B858" w14:textId="77777777" w:rsidR="0036062A" w:rsidRPr="00594FCF" w:rsidRDefault="0036062A" w:rsidP="007819FB">
            <w:pPr>
              <w:pStyle w:val="Tabletext"/>
              <w:keepNext/>
              <w:keepLines/>
              <w:jc w:val="right"/>
            </w:pPr>
          </w:p>
        </w:tc>
      </w:tr>
      <w:tr w:rsidR="0036062A" w:rsidRPr="00594FCF" w14:paraId="05CB3284" w14:textId="77777777" w:rsidTr="007819FB">
        <w:tc>
          <w:tcPr>
            <w:tcW w:w="3828" w:type="dxa"/>
            <w:vAlign w:val="bottom"/>
          </w:tcPr>
          <w:p w14:paraId="47B15E25" w14:textId="77777777" w:rsidR="0036062A" w:rsidRPr="0015087B" w:rsidRDefault="0036062A" w:rsidP="007819FB">
            <w:pPr>
              <w:pStyle w:val="Tabletext"/>
              <w:keepNext/>
              <w:keepLines/>
              <w:rPr>
                <w:b/>
                <w:lang w:eastAsia="nl-NL"/>
              </w:rPr>
            </w:pPr>
            <w:r w:rsidRPr="0015087B">
              <w:rPr>
                <w:b/>
                <w:lang w:val="en-US" w:eastAsia="nl-NL"/>
              </w:rPr>
              <w:t>Non–current assets</w:t>
            </w:r>
          </w:p>
        </w:tc>
        <w:tc>
          <w:tcPr>
            <w:tcW w:w="1258" w:type="dxa"/>
            <w:vAlign w:val="bottom"/>
          </w:tcPr>
          <w:p w14:paraId="7A759DC9" w14:textId="77777777" w:rsidR="0036062A" w:rsidRPr="00594FCF" w:rsidRDefault="0036062A" w:rsidP="007819FB">
            <w:pPr>
              <w:pStyle w:val="Tabletext"/>
              <w:keepNext/>
              <w:keepLines/>
              <w:jc w:val="right"/>
            </w:pPr>
          </w:p>
        </w:tc>
        <w:tc>
          <w:tcPr>
            <w:tcW w:w="1233" w:type="dxa"/>
            <w:gridSpan w:val="2"/>
            <w:shd w:val="clear" w:color="auto" w:fill="EFF4F5"/>
            <w:vAlign w:val="bottom"/>
          </w:tcPr>
          <w:p w14:paraId="0D331AE3" w14:textId="77777777" w:rsidR="0036062A" w:rsidRPr="00594FCF" w:rsidRDefault="0036062A" w:rsidP="007819FB">
            <w:pPr>
              <w:pStyle w:val="Tabletext"/>
              <w:keepNext/>
              <w:keepLines/>
              <w:jc w:val="right"/>
            </w:pPr>
          </w:p>
        </w:tc>
        <w:tc>
          <w:tcPr>
            <w:tcW w:w="1289" w:type="dxa"/>
            <w:vAlign w:val="bottom"/>
          </w:tcPr>
          <w:p w14:paraId="7C9B3B78" w14:textId="77777777" w:rsidR="0036062A" w:rsidRPr="00594FCF" w:rsidRDefault="0036062A" w:rsidP="007819FB">
            <w:pPr>
              <w:pStyle w:val="Tabletext"/>
              <w:keepNext/>
              <w:keepLines/>
              <w:jc w:val="right"/>
            </w:pPr>
          </w:p>
        </w:tc>
        <w:tc>
          <w:tcPr>
            <w:tcW w:w="1289" w:type="dxa"/>
          </w:tcPr>
          <w:p w14:paraId="6A4575F5" w14:textId="77777777" w:rsidR="0036062A" w:rsidRPr="00594FCF" w:rsidRDefault="0036062A" w:rsidP="007819FB">
            <w:pPr>
              <w:pStyle w:val="Tabletext"/>
              <w:keepNext/>
              <w:keepLines/>
              <w:jc w:val="right"/>
            </w:pPr>
          </w:p>
        </w:tc>
      </w:tr>
      <w:tr w:rsidR="0036062A" w:rsidRPr="00594FCF" w14:paraId="3FB689AF" w14:textId="77777777" w:rsidTr="007819FB">
        <w:tc>
          <w:tcPr>
            <w:tcW w:w="3828" w:type="dxa"/>
            <w:vAlign w:val="bottom"/>
          </w:tcPr>
          <w:p w14:paraId="5F5DA4C1" w14:textId="77777777" w:rsidR="0036062A" w:rsidRPr="00594FCF" w:rsidRDefault="0036062A" w:rsidP="007819FB">
            <w:pPr>
              <w:pStyle w:val="Tabletext"/>
              <w:keepNext/>
              <w:keepLines/>
              <w:rPr>
                <w:lang w:eastAsia="nl-NL"/>
              </w:rPr>
            </w:pPr>
            <w:r w:rsidRPr="00594FCF">
              <w:rPr>
                <w:lang w:val="en-US" w:eastAsia="nl-NL"/>
              </w:rPr>
              <w:t>Intangible assets</w:t>
            </w:r>
          </w:p>
        </w:tc>
        <w:tc>
          <w:tcPr>
            <w:tcW w:w="1258" w:type="dxa"/>
            <w:vAlign w:val="bottom"/>
          </w:tcPr>
          <w:p w14:paraId="26865FCC" w14:textId="795F3247" w:rsidR="0036062A" w:rsidRPr="00594FCF" w:rsidRDefault="0036062A" w:rsidP="007819FB">
            <w:pPr>
              <w:pStyle w:val="Tabletext"/>
              <w:keepNext/>
              <w:keepLines/>
              <w:jc w:val="right"/>
            </w:pPr>
            <w:r>
              <w:t>13</w:t>
            </w:r>
          </w:p>
        </w:tc>
        <w:tc>
          <w:tcPr>
            <w:tcW w:w="1233" w:type="dxa"/>
            <w:gridSpan w:val="2"/>
            <w:shd w:val="clear" w:color="auto" w:fill="EFF4F5"/>
            <w:vAlign w:val="bottom"/>
          </w:tcPr>
          <w:p w14:paraId="0C15ED3B" w14:textId="77777777" w:rsidR="0036062A" w:rsidRPr="00594FCF" w:rsidRDefault="0036062A" w:rsidP="007819FB">
            <w:pPr>
              <w:pStyle w:val="Tabletext"/>
              <w:keepNext/>
              <w:keepLines/>
              <w:jc w:val="right"/>
            </w:pPr>
            <w:r>
              <w:t>519.1</w:t>
            </w:r>
          </w:p>
        </w:tc>
        <w:tc>
          <w:tcPr>
            <w:tcW w:w="1289" w:type="dxa"/>
            <w:vAlign w:val="bottom"/>
          </w:tcPr>
          <w:p w14:paraId="403A94ED" w14:textId="77777777" w:rsidR="0036062A" w:rsidRPr="00594FCF" w:rsidRDefault="0036062A" w:rsidP="007819FB">
            <w:pPr>
              <w:pStyle w:val="Tabletext"/>
              <w:keepNext/>
              <w:keepLines/>
              <w:jc w:val="right"/>
            </w:pPr>
            <w:r w:rsidRPr="00594FCF">
              <w:t>51</w:t>
            </w:r>
            <w:r>
              <w:t>9</w:t>
            </w:r>
            <w:r w:rsidRPr="00594FCF">
              <w:t>.</w:t>
            </w:r>
            <w:r>
              <w:t>1</w:t>
            </w:r>
          </w:p>
        </w:tc>
        <w:tc>
          <w:tcPr>
            <w:tcW w:w="1289" w:type="dxa"/>
          </w:tcPr>
          <w:p w14:paraId="22700D2F" w14:textId="77777777" w:rsidR="0036062A" w:rsidRPr="00594FCF" w:rsidRDefault="0036062A" w:rsidP="007819FB">
            <w:pPr>
              <w:pStyle w:val="Tabletext"/>
              <w:keepNext/>
              <w:keepLines/>
              <w:jc w:val="right"/>
            </w:pPr>
            <w:r>
              <w:t>514.9</w:t>
            </w:r>
          </w:p>
        </w:tc>
      </w:tr>
      <w:tr w:rsidR="0036062A" w:rsidRPr="00594FCF" w14:paraId="77A5EA64" w14:textId="77777777" w:rsidTr="007819FB">
        <w:tc>
          <w:tcPr>
            <w:tcW w:w="3828" w:type="dxa"/>
            <w:vAlign w:val="bottom"/>
          </w:tcPr>
          <w:p w14:paraId="58CCCE99" w14:textId="77777777" w:rsidR="0036062A" w:rsidRPr="00594FCF" w:rsidRDefault="0036062A" w:rsidP="007819FB">
            <w:pPr>
              <w:pStyle w:val="Tabletext"/>
              <w:keepNext/>
              <w:keepLines/>
              <w:rPr>
                <w:lang w:eastAsia="nl-NL"/>
              </w:rPr>
            </w:pPr>
            <w:r w:rsidRPr="00594FCF">
              <w:rPr>
                <w:lang w:val="en-US" w:eastAsia="nl-NL"/>
              </w:rPr>
              <w:t>Property, plant and equipment</w:t>
            </w:r>
          </w:p>
        </w:tc>
        <w:tc>
          <w:tcPr>
            <w:tcW w:w="1258" w:type="dxa"/>
            <w:vAlign w:val="bottom"/>
          </w:tcPr>
          <w:p w14:paraId="441E9D1F" w14:textId="553391F0" w:rsidR="0036062A" w:rsidRPr="00594FCF" w:rsidRDefault="0036062A" w:rsidP="0036062A">
            <w:pPr>
              <w:pStyle w:val="Tabletext"/>
              <w:keepNext/>
              <w:keepLines/>
              <w:jc w:val="right"/>
            </w:pPr>
            <w:r w:rsidRPr="00594FCF">
              <w:t>1</w:t>
            </w:r>
            <w:r>
              <w:t>4</w:t>
            </w:r>
          </w:p>
        </w:tc>
        <w:tc>
          <w:tcPr>
            <w:tcW w:w="1233" w:type="dxa"/>
            <w:gridSpan w:val="2"/>
            <w:shd w:val="clear" w:color="auto" w:fill="EFF4F5"/>
            <w:vAlign w:val="bottom"/>
          </w:tcPr>
          <w:p w14:paraId="657E8A6C" w14:textId="451A51E1" w:rsidR="0036062A" w:rsidRPr="00D900FA" w:rsidRDefault="00F0776B" w:rsidP="007819FB">
            <w:pPr>
              <w:pStyle w:val="Tabletext"/>
              <w:keepNext/>
              <w:keepLines/>
              <w:jc w:val="right"/>
            </w:pPr>
            <w:r>
              <w:t>895.5</w:t>
            </w:r>
          </w:p>
        </w:tc>
        <w:tc>
          <w:tcPr>
            <w:tcW w:w="1289" w:type="dxa"/>
            <w:vAlign w:val="bottom"/>
          </w:tcPr>
          <w:p w14:paraId="42913B1C" w14:textId="77777777" w:rsidR="0036062A" w:rsidRPr="00594FCF" w:rsidRDefault="0036062A" w:rsidP="007819FB">
            <w:pPr>
              <w:pStyle w:val="Tabletext"/>
              <w:keepNext/>
              <w:keepLines/>
              <w:jc w:val="right"/>
            </w:pPr>
            <w:r>
              <w:t>846.6</w:t>
            </w:r>
          </w:p>
        </w:tc>
        <w:tc>
          <w:tcPr>
            <w:tcW w:w="1289" w:type="dxa"/>
          </w:tcPr>
          <w:p w14:paraId="58956DE6" w14:textId="77777777" w:rsidR="0036062A" w:rsidRPr="00594FCF" w:rsidDel="00F7538C" w:rsidRDefault="0036062A" w:rsidP="007819FB">
            <w:pPr>
              <w:pStyle w:val="Tabletext"/>
              <w:keepNext/>
              <w:keepLines/>
              <w:jc w:val="right"/>
            </w:pPr>
            <w:r>
              <w:t>808.6</w:t>
            </w:r>
          </w:p>
        </w:tc>
      </w:tr>
      <w:tr w:rsidR="0036062A" w:rsidRPr="00594FCF" w14:paraId="7933AAD8" w14:textId="77777777" w:rsidTr="007819FB">
        <w:tc>
          <w:tcPr>
            <w:tcW w:w="3828" w:type="dxa"/>
            <w:vAlign w:val="bottom"/>
          </w:tcPr>
          <w:p w14:paraId="331DF65D" w14:textId="77777777" w:rsidR="0036062A" w:rsidRPr="00594FCF" w:rsidRDefault="0036062A" w:rsidP="007819FB">
            <w:pPr>
              <w:pStyle w:val="Tabletext"/>
              <w:keepNext/>
              <w:keepLines/>
              <w:rPr>
                <w:lang w:val="en-US" w:eastAsia="nl-NL"/>
              </w:rPr>
            </w:pPr>
            <w:r>
              <w:rPr>
                <w:lang w:val="en-US" w:eastAsia="nl-NL"/>
              </w:rPr>
              <w:t>Deferred tax asset</w:t>
            </w:r>
          </w:p>
        </w:tc>
        <w:tc>
          <w:tcPr>
            <w:tcW w:w="1258" w:type="dxa"/>
            <w:vAlign w:val="bottom"/>
          </w:tcPr>
          <w:p w14:paraId="1F812754" w14:textId="77777777" w:rsidR="0036062A" w:rsidRPr="00594FCF" w:rsidRDefault="0036062A" w:rsidP="007819FB">
            <w:pPr>
              <w:pStyle w:val="Tabletext"/>
              <w:keepNext/>
              <w:keepLines/>
              <w:jc w:val="right"/>
            </w:pPr>
          </w:p>
        </w:tc>
        <w:tc>
          <w:tcPr>
            <w:tcW w:w="1233" w:type="dxa"/>
            <w:gridSpan w:val="2"/>
            <w:shd w:val="clear" w:color="auto" w:fill="EFF4F5"/>
            <w:vAlign w:val="bottom"/>
          </w:tcPr>
          <w:p w14:paraId="38CE7751" w14:textId="77777777" w:rsidR="0036062A" w:rsidRPr="00D900FA" w:rsidDel="000839C7" w:rsidRDefault="0036062A" w:rsidP="007819FB">
            <w:pPr>
              <w:pStyle w:val="Tabletext"/>
              <w:keepNext/>
              <w:keepLines/>
              <w:jc w:val="right"/>
            </w:pPr>
            <w:r w:rsidRPr="00594FCF">
              <w:t>–</w:t>
            </w:r>
          </w:p>
        </w:tc>
        <w:tc>
          <w:tcPr>
            <w:tcW w:w="1289" w:type="dxa"/>
            <w:vAlign w:val="bottom"/>
          </w:tcPr>
          <w:p w14:paraId="63C421EF" w14:textId="77777777" w:rsidR="0036062A" w:rsidRPr="00594FCF" w:rsidDel="00F7538C" w:rsidRDefault="0036062A" w:rsidP="007819FB">
            <w:pPr>
              <w:pStyle w:val="Tabletext"/>
              <w:keepNext/>
              <w:keepLines/>
              <w:jc w:val="right"/>
            </w:pPr>
            <w:r w:rsidRPr="00594FCF">
              <w:t>–</w:t>
            </w:r>
          </w:p>
        </w:tc>
        <w:tc>
          <w:tcPr>
            <w:tcW w:w="1289" w:type="dxa"/>
          </w:tcPr>
          <w:p w14:paraId="7656C0E9" w14:textId="77777777" w:rsidR="0036062A" w:rsidRDefault="0036062A" w:rsidP="007819FB">
            <w:pPr>
              <w:pStyle w:val="Tabletext"/>
              <w:keepNext/>
              <w:keepLines/>
              <w:jc w:val="right"/>
            </w:pPr>
            <w:r>
              <w:t>17.1</w:t>
            </w:r>
          </w:p>
        </w:tc>
      </w:tr>
      <w:tr w:rsidR="0036062A" w:rsidRPr="00594FCF" w14:paraId="7A7601A8" w14:textId="77777777" w:rsidTr="007819FB">
        <w:tc>
          <w:tcPr>
            <w:tcW w:w="3828" w:type="dxa"/>
            <w:tcBorders>
              <w:top w:val="single" w:sz="4" w:space="0" w:color="93B7BB"/>
              <w:bottom w:val="single" w:sz="4" w:space="0" w:color="93B7BB"/>
            </w:tcBorders>
            <w:vAlign w:val="bottom"/>
          </w:tcPr>
          <w:p w14:paraId="4E2E1894" w14:textId="77777777" w:rsidR="0036062A" w:rsidRPr="00594FCF" w:rsidRDefault="0036062A" w:rsidP="007819FB">
            <w:pPr>
              <w:pStyle w:val="Tabletext"/>
              <w:keepNext/>
              <w:keepLines/>
              <w:rPr>
                <w:lang w:val="en-US" w:eastAsia="nl-NL"/>
              </w:rPr>
            </w:pPr>
          </w:p>
        </w:tc>
        <w:tc>
          <w:tcPr>
            <w:tcW w:w="1258" w:type="dxa"/>
            <w:tcBorders>
              <w:top w:val="single" w:sz="4" w:space="0" w:color="93B7BB"/>
              <w:bottom w:val="single" w:sz="4" w:space="0" w:color="93B7BB"/>
            </w:tcBorders>
            <w:vAlign w:val="bottom"/>
          </w:tcPr>
          <w:p w14:paraId="5971C632" w14:textId="77777777" w:rsidR="0036062A" w:rsidRPr="00594FCF" w:rsidRDefault="0036062A" w:rsidP="007819FB">
            <w:pPr>
              <w:pStyle w:val="Tabletext"/>
              <w:keepNext/>
              <w:keepLines/>
              <w:jc w:val="right"/>
            </w:pPr>
          </w:p>
        </w:tc>
        <w:tc>
          <w:tcPr>
            <w:tcW w:w="1233" w:type="dxa"/>
            <w:gridSpan w:val="2"/>
            <w:tcBorders>
              <w:top w:val="single" w:sz="4" w:space="0" w:color="93B7BB"/>
              <w:bottom w:val="single" w:sz="4" w:space="0" w:color="93B7BB"/>
            </w:tcBorders>
            <w:shd w:val="clear" w:color="auto" w:fill="EFF4F5"/>
            <w:vAlign w:val="bottom"/>
          </w:tcPr>
          <w:p w14:paraId="7CCD6399" w14:textId="01949641" w:rsidR="0036062A" w:rsidRPr="00D900FA" w:rsidRDefault="00F0776B" w:rsidP="007819FB">
            <w:pPr>
              <w:pStyle w:val="Tabletext"/>
              <w:keepNext/>
              <w:keepLines/>
              <w:jc w:val="right"/>
            </w:pPr>
            <w:r>
              <w:t>1,414.6</w:t>
            </w:r>
          </w:p>
        </w:tc>
        <w:tc>
          <w:tcPr>
            <w:tcW w:w="1289" w:type="dxa"/>
            <w:tcBorders>
              <w:top w:val="single" w:sz="4" w:space="0" w:color="93B7BB"/>
              <w:bottom w:val="single" w:sz="4" w:space="0" w:color="93B7BB"/>
            </w:tcBorders>
            <w:vAlign w:val="bottom"/>
          </w:tcPr>
          <w:p w14:paraId="6E72D2F3" w14:textId="77777777" w:rsidR="0036062A" w:rsidRPr="00594FCF" w:rsidRDefault="0036062A" w:rsidP="007819FB">
            <w:pPr>
              <w:pStyle w:val="Tabletext"/>
              <w:keepNext/>
              <w:keepLines/>
              <w:jc w:val="right"/>
            </w:pPr>
            <w:r>
              <w:t>1,365.7</w:t>
            </w:r>
          </w:p>
        </w:tc>
        <w:tc>
          <w:tcPr>
            <w:tcW w:w="1289" w:type="dxa"/>
            <w:tcBorders>
              <w:top w:val="single" w:sz="4" w:space="0" w:color="93B7BB"/>
              <w:bottom w:val="single" w:sz="4" w:space="0" w:color="93B7BB"/>
            </w:tcBorders>
          </w:tcPr>
          <w:p w14:paraId="4613A38C" w14:textId="77777777" w:rsidR="0036062A" w:rsidRPr="00594FCF" w:rsidDel="00F7538C" w:rsidRDefault="0036062A" w:rsidP="007819FB">
            <w:pPr>
              <w:pStyle w:val="Tabletext"/>
              <w:keepNext/>
              <w:keepLines/>
              <w:jc w:val="right"/>
            </w:pPr>
            <w:r>
              <w:t>1,340.6</w:t>
            </w:r>
          </w:p>
        </w:tc>
      </w:tr>
      <w:tr w:rsidR="0036062A" w:rsidRPr="00594FCF" w14:paraId="55FE0807" w14:textId="77777777" w:rsidTr="007819FB">
        <w:tc>
          <w:tcPr>
            <w:tcW w:w="3828" w:type="dxa"/>
            <w:tcBorders>
              <w:top w:val="single" w:sz="4" w:space="0" w:color="93B7BB"/>
            </w:tcBorders>
            <w:vAlign w:val="bottom"/>
          </w:tcPr>
          <w:p w14:paraId="1C2A7508" w14:textId="77777777" w:rsidR="0036062A" w:rsidRPr="006D1B0B" w:rsidRDefault="0036062A" w:rsidP="007819FB">
            <w:pPr>
              <w:pStyle w:val="Tabletext"/>
              <w:keepNext/>
              <w:keepLines/>
              <w:rPr>
                <w:b/>
                <w:lang w:eastAsia="nl-NL"/>
              </w:rPr>
            </w:pPr>
            <w:r w:rsidRPr="006D1B0B">
              <w:rPr>
                <w:b/>
                <w:lang w:val="en-US" w:eastAsia="nl-NL"/>
              </w:rPr>
              <w:t>Current assets</w:t>
            </w:r>
          </w:p>
        </w:tc>
        <w:tc>
          <w:tcPr>
            <w:tcW w:w="1258" w:type="dxa"/>
            <w:tcBorders>
              <w:top w:val="single" w:sz="4" w:space="0" w:color="93B7BB"/>
            </w:tcBorders>
            <w:vAlign w:val="bottom"/>
          </w:tcPr>
          <w:p w14:paraId="23D87612" w14:textId="77777777" w:rsidR="0036062A" w:rsidRPr="00594FCF" w:rsidRDefault="0036062A" w:rsidP="007819FB">
            <w:pPr>
              <w:pStyle w:val="Tabletext"/>
              <w:keepNext/>
              <w:keepLines/>
              <w:jc w:val="right"/>
            </w:pPr>
          </w:p>
        </w:tc>
        <w:tc>
          <w:tcPr>
            <w:tcW w:w="1233" w:type="dxa"/>
            <w:gridSpan w:val="2"/>
            <w:tcBorders>
              <w:top w:val="single" w:sz="4" w:space="0" w:color="93B7BB"/>
            </w:tcBorders>
            <w:shd w:val="clear" w:color="auto" w:fill="EFF4F5"/>
            <w:vAlign w:val="bottom"/>
          </w:tcPr>
          <w:p w14:paraId="423652ED" w14:textId="77777777" w:rsidR="0036062A" w:rsidRPr="00594FCF" w:rsidRDefault="0036062A" w:rsidP="007819FB">
            <w:pPr>
              <w:pStyle w:val="Tabletext"/>
              <w:keepNext/>
              <w:keepLines/>
              <w:jc w:val="right"/>
            </w:pPr>
          </w:p>
        </w:tc>
        <w:tc>
          <w:tcPr>
            <w:tcW w:w="1289" w:type="dxa"/>
            <w:tcBorders>
              <w:top w:val="single" w:sz="4" w:space="0" w:color="93B7BB"/>
            </w:tcBorders>
            <w:vAlign w:val="bottom"/>
          </w:tcPr>
          <w:p w14:paraId="39182564" w14:textId="77777777" w:rsidR="0036062A" w:rsidRPr="00594FCF" w:rsidRDefault="0036062A" w:rsidP="007819FB">
            <w:pPr>
              <w:pStyle w:val="Tabletext"/>
              <w:keepNext/>
              <w:keepLines/>
              <w:jc w:val="right"/>
            </w:pPr>
          </w:p>
        </w:tc>
        <w:tc>
          <w:tcPr>
            <w:tcW w:w="1289" w:type="dxa"/>
            <w:tcBorders>
              <w:top w:val="single" w:sz="4" w:space="0" w:color="93B7BB"/>
            </w:tcBorders>
          </w:tcPr>
          <w:p w14:paraId="6E5F3841" w14:textId="77777777" w:rsidR="0036062A" w:rsidRPr="00594FCF" w:rsidRDefault="0036062A" w:rsidP="007819FB">
            <w:pPr>
              <w:pStyle w:val="Tabletext"/>
              <w:keepNext/>
              <w:keepLines/>
              <w:jc w:val="right"/>
            </w:pPr>
          </w:p>
        </w:tc>
      </w:tr>
      <w:tr w:rsidR="0036062A" w:rsidRPr="00594FCF" w14:paraId="366E2025" w14:textId="77777777" w:rsidTr="007819FB">
        <w:tc>
          <w:tcPr>
            <w:tcW w:w="3828" w:type="dxa"/>
            <w:vAlign w:val="bottom"/>
          </w:tcPr>
          <w:p w14:paraId="0D86DC79" w14:textId="77777777" w:rsidR="0036062A" w:rsidRPr="00594FCF" w:rsidRDefault="0036062A" w:rsidP="007819FB">
            <w:pPr>
              <w:pStyle w:val="Tabletext"/>
              <w:keepNext/>
              <w:keepLines/>
              <w:rPr>
                <w:lang w:eastAsia="nl-NL"/>
              </w:rPr>
            </w:pPr>
            <w:r w:rsidRPr="00594FCF">
              <w:rPr>
                <w:lang w:val="en-US" w:eastAsia="nl-NL"/>
              </w:rPr>
              <w:t>Inventories</w:t>
            </w:r>
          </w:p>
        </w:tc>
        <w:tc>
          <w:tcPr>
            <w:tcW w:w="1258" w:type="dxa"/>
            <w:vAlign w:val="bottom"/>
          </w:tcPr>
          <w:p w14:paraId="09C4BEF7" w14:textId="77777777" w:rsidR="0036062A" w:rsidRPr="00594FCF" w:rsidRDefault="0036062A" w:rsidP="007819FB">
            <w:pPr>
              <w:pStyle w:val="Tabletext"/>
              <w:keepNext/>
              <w:keepLines/>
              <w:jc w:val="right"/>
            </w:pPr>
          </w:p>
        </w:tc>
        <w:tc>
          <w:tcPr>
            <w:tcW w:w="1233" w:type="dxa"/>
            <w:gridSpan w:val="2"/>
            <w:shd w:val="clear" w:color="auto" w:fill="EFF4F5"/>
            <w:vAlign w:val="bottom"/>
          </w:tcPr>
          <w:p w14:paraId="5BDEB543" w14:textId="3C54ED4B" w:rsidR="0036062A" w:rsidRPr="00594FCF" w:rsidRDefault="00F0776B" w:rsidP="007819FB">
            <w:pPr>
              <w:pStyle w:val="Tabletext"/>
              <w:keepNext/>
              <w:keepLines/>
              <w:jc w:val="right"/>
            </w:pPr>
            <w:r>
              <w:t>29.0</w:t>
            </w:r>
          </w:p>
        </w:tc>
        <w:tc>
          <w:tcPr>
            <w:tcW w:w="1289" w:type="dxa"/>
            <w:vAlign w:val="bottom"/>
          </w:tcPr>
          <w:p w14:paraId="09DCB9A3" w14:textId="77777777" w:rsidR="0036062A" w:rsidRPr="00594FCF" w:rsidRDefault="0036062A" w:rsidP="007819FB">
            <w:pPr>
              <w:pStyle w:val="Tabletext"/>
              <w:keepNext/>
              <w:keepLines/>
              <w:jc w:val="right"/>
            </w:pPr>
            <w:r w:rsidRPr="00594FCF">
              <w:t>26.</w:t>
            </w:r>
            <w:r>
              <w:t>0</w:t>
            </w:r>
          </w:p>
        </w:tc>
        <w:tc>
          <w:tcPr>
            <w:tcW w:w="1289" w:type="dxa"/>
          </w:tcPr>
          <w:p w14:paraId="73CA6413" w14:textId="77777777" w:rsidR="0036062A" w:rsidRPr="00594FCF" w:rsidRDefault="0036062A" w:rsidP="007819FB">
            <w:pPr>
              <w:pStyle w:val="Tabletext"/>
              <w:keepNext/>
              <w:keepLines/>
              <w:jc w:val="right"/>
            </w:pPr>
            <w:r>
              <w:t>26.2</w:t>
            </w:r>
          </w:p>
        </w:tc>
      </w:tr>
      <w:tr w:rsidR="0036062A" w:rsidRPr="00594FCF" w14:paraId="58090AF9" w14:textId="77777777" w:rsidTr="007819FB">
        <w:tc>
          <w:tcPr>
            <w:tcW w:w="3828" w:type="dxa"/>
            <w:vAlign w:val="bottom"/>
          </w:tcPr>
          <w:p w14:paraId="39D3ED01" w14:textId="77777777" w:rsidR="0036062A" w:rsidRPr="00594FCF" w:rsidRDefault="0036062A" w:rsidP="007819FB">
            <w:pPr>
              <w:pStyle w:val="Tabletext"/>
              <w:keepNext/>
              <w:keepLines/>
              <w:rPr>
                <w:lang w:eastAsia="nl-NL"/>
              </w:rPr>
            </w:pPr>
            <w:r w:rsidRPr="00594FCF">
              <w:rPr>
                <w:lang w:val="en-US" w:eastAsia="nl-NL"/>
              </w:rPr>
              <w:t>Trade and other receivables</w:t>
            </w:r>
          </w:p>
        </w:tc>
        <w:tc>
          <w:tcPr>
            <w:tcW w:w="1258" w:type="dxa"/>
            <w:vAlign w:val="bottom"/>
          </w:tcPr>
          <w:p w14:paraId="123816BC" w14:textId="36727AF5" w:rsidR="0036062A" w:rsidRPr="00594FCF" w:rsidRDefault="0036062A" w:rsidP="007819FB">
            <w:pPr>
              <w:pStyle w:val="Tabletext"/>
              <w:keepNext/>
              <w:keepLines/>
              <w:jc w:val="right"/>
            </w:pPr>
            <w:r>
              <w:t>15</w:t>
            </w:r>
          </w:p>
        </w:tc>
        <w:tc>
          <w:tcPr>
            <w:tcW w:w="1233" w:type="dxa"/>
            <w:gridSpan w:val="2"/>
            <w:shd w:val="clear" w:color="auto" w:fill="EFF4F5"/>
            <w:vAlign w:val="bottom"/>
          </w:tcPr>
          <w:p w14:paraId="0CCCD5D5" w14:textId="4D7C0DB1" w:rsidR="0036062A" w:rsidRPr="00594FCF" w:rsidRDefault="00F0776B" w:rsidP="00CC16A3">
            <w:pPr>
              <w:pStyle w:val="Tabletext"/>
              <w:keepNext/>
              <w:keepLines/>
              <w:jc w:val="right"/>
            </w:pPr>
            <w:r>
              <w:t>1</w:t>
            </w:r>
            <w:r w:rsidR="00CC16A3">
              <w:t>34</w:t>
            </w:r>
            <w:r>
              <w:t>.</w:t>
            </w:r>
            <w:r w:rsidR="00CC16A3">
              <w:t>7</w:t>
            </w:r>
          </w:p>
        </w:tc>
        <w:tc>
          <w:tcPr>
            <w:tcW w:w="1289" w:type="dxa"/>
            <w:vAlign w:val="bottom"/>
          </w:tcPr>
          <w:p w14:paraId="29341450" w14:textId="77777777" w:rsidR="0036062A" w:rsidRPr="00594FCF" w:rsidRDefault="0036062A" w:rsidP="007819FB">
            <w:pPr>
              <w:pStyle w:val="Tabletext"/>
              <w:keepNext/>
              <w:keepLines/>
              <w:jc w:val="right"/>
            </w:pPr>
            <w:r w:rsidRPr="00594FCF">
              <w:t>13</w:t>
            </w:r>
            <w:r>
              <w:t>9</w:t>
            </w:r>
            <w:r w:rsidRPr="00594FCF">
              <w:t>.</w:t>
            </w:r>
            <w:r>
              <w:t>9</w:t>
            </w:r>
          </w:p>
        </w:tc>
        <w:tc>
          <w:tcPr>
            <w:tcW w:w="1289" w:type="dxa"/>
          </w:tcPr>
          <w:p w14:paraId="4DFC02ED" w14:textId="77777777" w:rsidR="0036062A" w:rsidRPr="00594FCF" w:rsidRDefault="0036062A" w:rsidP="007819FB">
            <w:pPr>
              <w:pStyle w:val="Tabletext"/>
              <w:keepNext/>
              <w:keepLines/>
              <w:jc w:val="right"/>
            </w:pPr>
            <w:r>
              <w:t>131.2</w:t>
            </w:r>
          </w:p>
        </w:tc>
      </w:tr>
      <w:tr w:rsidR="0036062A" w:rsidRPr="00594FCF" w14:paraId="2AD383F7" w14:textId="77777777" w:rsidTr="007819FB">
        <w:tc>
          <w:tcPr>
            <w:tcW w:w="3828" w:type="dxa"/>
            <w:tcBorders>
              <w:bottom w:val="single" w:sz="4" w:space="0" w:color="93B7BB"/>
            </w:tcBorders>
            <w:vAlign w:val="bottom"/>
          </w:tcPr>
          <w:p w14:paraId="6DF6DA3B" w14:textId="77777777" w:rsidR="0036062A" w:rsidRPr="00594FCF" w:rsidRDefault="0036062A" w:rsidP="007819FB">
            <w:pPr>
              <w:pStyle w:val="Tabletext"/>
              <w:keepNext/>
              <w:keepLines/>
              <w:rPr>
                <w:lang w:eastAsia="nl-NL"/>
              </w:rPr>
            </w:pPr>
            <w:r w:rsidRPr="00594FCF">
              <w:rPr>
                <w:lang w:val="en-US" w:eastAsia="nl-NL"/>
              </w:rPr>
              <w:t>Cash and cash equivalents</w:t>
            </w:r>
          </w:p>
        </w:tc>
        <w:tc>
          <w:tcPr>
            <w:tcW w:w="1258" w:type="dxa"/>
            <w:tcBorders>
              <w:bottom w:val="single" w:sz="4" w:space="0" w:color="93B7BB"/>
            </w:tcBorders>
            <w:vAlign w:val="bottom"/>
          </w:tcPr>
          <w:p w14:paraId="321EF93A" w14:textId="77777777" w:rsidR="0036062A" w:rsidRPr="00594FCF" w:rsidRDefault="0036062A" w:rsidP="007819FB">
            <w:pPr>
              <w:pStyle w:val="Tabletext"/>
              <w:keepNext/>
              <w:keepLines/>
              <w:jc w:val="right"/>
            </w:pPr>
          </w:p>
        </w:tc>
        <w:tc>
          <w:tcPr>
            <w:tcW w:w="1233" w:type="dxa"/>
            <w:gridSpan w:val="2"/>
            <w:tcBorders>
              <w:bottom w:val="single" w:sz="4" w:space="0" w:color="93B7BB"/>
            </w:tcBorders>
            <w:shd w:val="clear" w:color="auto" w:fill="EFF4F5"/>
            <w:vAlign w:val="bottom"/>
          </w:tcPr>
          <w:p w14:paraId="694C0035" w14:textId="67975F05" w:rsidR="0036062A" w:rsidRPr="00594FCF" w:rsidRDefault="00F0776B" w:rsidP="007819FB">
            <w:pPr>
              <w:pStyle w:val="Tabletext"/>
              <w:keepNext/>
              <w:keepLines/>
              <w:jc w:val="right"/>
            </w:pPr>
            <w:r>
              <w:t>78.9</w:t>
            </w:r>
          </w:p>
        </w:tc>
        <w:tc>
          <w:tcPr>
            <w:tcW w:w="1289" w:type="dxa"/>
            <w:tcBorders>
              <w:bottom w:val="single" w:sz="4" w:space="0" w:color="93B7BB"/>
            </w:tcBorders>
            <w:vAlign w:val="bottom"/>
          </w:tcPr>
          <w:p w14:paraId="23B0DECD" w14:textId="77777777" w:rsidR="0036062A" w:rsidRPr="00594FCF" w:rsidRDefault="0036062A" w:rsidP="007819FB">
            <w:pPr>
              <w:pStyle w:val="Tabletext"/>
              <w:keepNext/>
              <w:keepLines/>
              <w:jc w:val="right"/>
            </w:pPr>
            <w:r>
              <w:t>74</w:t>
            </w:r>
            <w:r w:rsidRPr="00594FCF">
              <w:t>.5</w:t>
            </w:r>
          </w:p>
        </w:tc>
        <w:tc>
          <w:tcPr>
            <w:tcW w:w="1289" w:type="dxa"/>
            <w:tcBorders>
              <w:bottom w:val="single" w:sz="4" w:space="0" w:color="93B7BB"/>
            </w:tcBorders>
          </w:tcPr>
          <w:p w14:paraId="53602761" w14:textId="77777777" w:rsidR="0036062A" w:rsidRDefault="0036062A" w:rsidP="007819FB">
            <w:pPr>
              <w:pStyle w:val="Tabletext"/>
              <w:keepNext/>
              <w:keepLines/>
              <w:jc w:val="right"/>
            </w:pPr>
            <w:r>
              <w:t>111.5</w:t>
            </w:r>
          </w:p>
        </w:tc>
      </w:tr>
      <w:tr w:rsidR="0036062A" w:rsidRPr="00594FCF" w14:paraId="165ED35A" w14:textId="77777777" w:rsidTr="007819FB">
        <w:tc>
          <w:tcPr>
            <w:tcW w:w="3828" w:type="dxa"/>
            <w:tcBorders>
              <w:top w:val="single" w:sz="4" w:space="0" w:color="93B7BB"/>
              <w:bottom w:val="single" w:sz="4" w:space="0" w:color="93B7BB"/>
            </w:tcBorders>
            <w:vAlign w:val="bottom"/>
          </w:tcPr>
          <w:p w14:paraId="0F7A5866" w14:textId="77777777" w:rsidR="0036062A" w:rsidRPr="00594FCF" w:rsidRDefault="0036062A" w:rsidP="007819FB">
            <w:pPr>
              <w:pStyle w:val="Tabletext"/>
              <w:keepNext/>
              <w:keepLines/>
              <w:rPr>
                <w:lang w:val="en-US" w:eastAsia="nl-NL"/>
              </w:rPr>
            </w:pPr>
          </w:p>
        </w:tc>
        <w:tc>
          <w:tcPr>
            <w:tcW w:w="1258" w:type="dxa"/>
            <w:tcBorders>
              <w:top w:val="single" w:sz="4" w:space="0" w:color="93B7BB"/>
              <w:bottom w:val="single" w:sz="4" w:space="0" w:color="93B7BB"/>
            </w:tcBorders>
            <w:vAlign w:val="bottom"/>
          </w:tcPr>
          <w:p w14:paraId="639E0756" w14:textId="77777777" w:rsidR="0036062A" w:rsidRPr="00594FCF" w:rsidRDefault="0036062A" w:rsidP="007819FB">
            <w:pPr>
              <w:pStyle w:val="Tabletext"/>
              <w:keepNext/>
              <w:keepLines/>
              <w:jc w:val="right"/>
            </w:pPr>
          </w:p>
        </w:tc>
        <w:tc>
          <w:tcPr>
            <w:tcW w:w="1233" w:type="dxa"/>
            <w:gridSpan w:val="2"/>
            <w:tcBorders>
              <w:top w:val="single" w:sz="4" w:space="0" w:color="93B7BB"/>
              <w:bottom w:val="single" w:sz="4" w:space="0" w:color="93B7BB"/>
            </w:tcBorders>
            <w:shd w:val="clear" w:color="auto" w:fill="EFF4F5"/>
            <w:vAlign w:val="bottom"/>
          </w:tcPr>
          <w:p w14:paraId="408C569E" w14:textId="4ACB91A7" w:rsidR="0036062A" w:rsidRPr="00594FCF" w:rsidRDefault="00F0776B" w:rsidP="00CC16A3">
            <w:pPr>
              <w:pStyle w:val="Tabletext"/>
              <w:keepNext/>
              <w:keepLines/>
              <w:jc w:val="right"/>
            </w:pPr>
            <w:r>
              <w:t>2</w:t>
            </w:r>
            <w:r w:rsidR="00CC16A3">
              <w:t>42</w:t>
            </w:r>
            <w:r>
              <w:t>.</w:t>
            </w:r>
            <w:r w:rsidR="00CC16A3">
              <w:t>6</w:t>
            </w:r>
          </w:p>
        </w:tc>
        <w:tc>
          <w:tcPr>
            <w:tcW w:w="1289" w:type="dxa"/>
            <w:tcBorders>
              <w:top w:val="single" w:sz="4" w:space="0" w:color="93B7BB"/>
              <w:bottom w:val="single" w:sz="4" w:space="0" w:color="93B7BB"/>
            </w:tcBorders>
            <w:vAlign w:val="bottom"/>
          </w:tcPr>
          <w:p w14:paraId="62E3C636" w14:textId="77777777" w:rsidR="0036062A" w:rsidRPr="00594FCF" w:rsidRDefault="0036062A" w:rsidP="007819FB">
            <w:pPr>
              <w:pStyle w:val="Tabletext"/>
              <w:keepNext/>
              <w:keepLines/>
              <w:jc w:val="right"/>
            </w:pPr>
            <w:r w:rsidRPr="00594FCF">
              <w:t>2</w:t>
            </w:r>
            <w:r>
              <w:t>40</w:t>
            </w:r>
            <w:r w:rsidRPr="00594FCF">
              <w:t>.</w:t>
            </w:r>
            <w:r>
              <w:t>4</w:t>
            </w:r>
          </w:p>
        </w:tc>
        <w:tc>
          <w:tcPr>
            <w:tcW w:w="1289" w:type="dxa"/>
            <w:tcBorders>
              <w:top w:val="single" w:sz="4" w:space="0" w:color="93B7BB"/>
              <w:bottom w:val="single" w:sz="4" w:space="0" w:color="93B7BB"/>
            </w:tcBorders>
          </w:tcPr>
          <w:p w14:paraId="5737E526" w14:textId="77777777" w:rsidR="0036062A" w:rsidRPr="00594FCF" w:rsidRDefault="0036062A" w:rsidP="007819FB">
            <w:pPr>
              <w:pStyle w:val="Tabletext"/>
              <w:keepNext/>
              <w:keepLines/>
              <w:jc w:val="right"/>
            </w:pPr>
            <w:r>
              <w:t>268.9</w:t>
            </w:r>
          </w:p>
        </w:tc>
      </w:tr>
      <w:tr w:rsidR="0036062A" w:rsidRPr="00594FCF" w14:paraId="7FA1F328" w14:textId="77777777" w:rsidTr="007819FB">
        <w:tc>
          <w:tcPr>
            <w:tcW w:w="3828" w:type="dxa"/>
            <w:tcBorders>
              <w:top w:val="single" w:sz="4" w:space="0" w:color="93B7BB"/>
              <w:bottom w:val="single" w:sz="4" w:space="0" w:color="93B7BB"/>
            </w:tcBorders>
            <w:vAlign w:val="bottom"/>
          </w:tcPr>
          <w:p w14:paraId="4EDED06D" w14:textId="77777777" w:rsidR="0036062A" w:rsidRPr="00D73661" w:rsidRDefault="0036062A" w:rsidP="007819FB">
            <w:pPr>
              <w:pStyle w:val="Tabletext"/>
              <w:keepNext/>
              <w:keepLines/>
              <w:rPr>
                <w:b/>
                <w:lang w:eastAsia="nl-NL"/>
              </w:rPr>
            </w:pPr>
            <w:r w:rsidRPr="00D73661">
              <w:rPr>
                <w:b/>
                <w:lang w:val="en-US" w:eastAsia="nl-NL"/>
              </w:rPr>
              <w:t>Total assets</w:t>
            </w:r>
          </w:p>
        </w:tc>
        <w:tc>
          <w:tcPr>
            <w:tcW w:w="1258" w:type="dxa"/>
            <w:tcBorders>
              <w:top w:val="single" w:sz="4" w:space="0" w:color="93B7BB"/>
              <w:bottom w:val="single" w:sz="4" w:space="0" w:color="93B7BB"/>
            </w:tcBorders>
            <w:vAlign w:val="bottom"/>
          </w:tcPr>
          <w:p w14:paraId="54EED04B" w14:textId="77777777" w:rsidR="0036062A" w:rsidRPr="00D73661" w:rsidRDefault="0036062A" w:rsidP="007819FB">
            <w:pPr>
              <w:pStyle w:val="Tabletext"/>
              <w:keepNext/>
              <w:keepLines/>
              <w:jc w:val="right"/>
              <w:rPr>
                <w:b/>
              </w:rPr>
            </w:pPr>
          </w:p>
        </w:tc>
        <w:tc>
          <w:tcPr>
            <w:tcW w:w="1233" w:type="dxa"/>
            <w:gridSpan w:val="2"/>
            <w:tcBorders>
              <w:top w:val="single" w:sz="4" w:space="0" w:color="93B7BB"/>
              <w:bottom w:val="single" w:sz="4" w:space="0" w:color="93B7BB"/>
            </w:tcBorders>
            <w:shd w:val="clear" w:color="auto" w:fill="EFF4F5"/>
            <w:vAlign w:val="bottom"/>
          </w:tcPr>
          <w:p w14:paraId="68B9C042" w14:textId="5DFFB950" w:rsidR="0036062A" w:rsidRPr="00D73661" w:rsidRDefault="00F0776B" w:rsidP="00CC16A3">
            <w:pPr>
              <w:pStyle w:val="Tabletext"/>
              <w:keepNext/>
              <w:keepLines/>
              <w:jc w:val="right"/>
              <w:rPr>
                <w:b/>
              </w:rPr>
            </w:pPr>
            <w:r>
              <w:rPr>
                <w:b/>
              </w:rPr>
              <w:t>1,65</w:t>
            </w:r>
            <w:r w:rsidR="00CC16A3">
              <w:rPr>
                <w:b/>
              </w:rPr>
              <w:t>7</w:t>
            </w:r>
            <w:r>
              <w:rPr>
                <w:b/>
              </w:rPr>
              <w:t>.</w:t>
            </w:r>
            <w:r w:rsidR="00CC16A3">
              <w:rPr>
                <w:b/>
              </w:rPr>
              <w:t>2</w:t>
            </w:r>
          </w:p>
        </w:tc>
        <w:tc>
          <w:tcPr>
            <w:tcW w:w="1289" w:type="dxa"/>
            <w:tcBorders>
              <w:top w:val="single" w:sz="4" w:space="0" w:color="93B7BB"/>
              <w:bottom w:val="single" w:sz="4" w:space="0" w:color="93B7BB"/>
            </w:tcBorders>
            <w:vAlign w:val="bottom"/>
          </w:tcPr>
          <w:p w14:paraId="39119D36" w14:textId="77777777" w:rsidR="0036062A" w:rsidRPr="00D73661" w:rsidRDefault="0036062A" w:rsidP="007819FB">
            <w:pPr>
              <w:pStyle w:val="Tabletext"/>
              <w:keepNext/>
              <w:keepLines/>
              <w:jc w:val="right"/>
              <w:rPr>
                <w:b/>
              </w:rPr>
            </w:pPr>
            <w:r>
              <w:rPr>
                <w:b/>
              </w:rPr>
              <w:t>1,606.1</w:t>
            </w:r>
          </w:p>
        </w:tc>
        <w:tc>
          <w:tcPr>
            <w:tcW w:w="1289" w:type="dxa"/>
            <w:tcBorders>
              <w:top w:val="single" w:sz="4" w:space="0" w:color="93B7BB"/>
              <w:bottom w:val="single" w:sz="4" w:space="0" w:color="93B7BB"/>
            </w:tcBorders>
          </w:tcPr>
          <w:p w14:paraId="73C8F668" w14:textId="77777777" w:rsidR="0036062A" w:rsidRPr="00D73661" w:rsidDel="00F7538C" w:rsidRDefault="0036062A" w:rsidP="007819FB">
            <w:pPr>
              <w:pStyle w:val="Tabletext"/>
              <w:keepNext/>
              <w:keepLines/>
              <w:jc w:val="right"/>
              <w:rPr>
                <w:b/>
              </w:rPr>
            </w:pPr>
            <w:r>
              <w:rPr>
                <w:b/>
              </w:rPr>
              <w:t>1,609.5</w:t>
            </w:r>
          </w:p>
        </w:tc>
      </w:tr>
      <w:tr w:rsidR="0036062A" w:rsidRPr="00594FCF" w14:paraId="45FA2DF5" w14:textId="77777777" w:rsidTr="007819FB">
        <w:tc>
          <w:tcPr>
            <w:tcW w:w="3828" w:type="dxa"/>
            <w:tcBorders>
              <w:top w:val="single" w:sz="4" w:space="0" w:color="93B7BB"/>
            </w:tcBorders>
            <w:vAlign w:val="bottom"/>
          </w:tcPr>
          <w:p w14:paraId="02FA3DA5" w14:textId="77777777" w:rsidR="0036062A" w:rsidRPr="00594FCF" w:rsidRDefault="0036062A" w:rsidP="007819FB">
            <w:pPr>
              <w:pStyle w:val="Tabletext"/>
              <w:keepNext/>
              <w:keepLines/>
              <w:rPr>
                <w:b/>
                <w:bCs/>
                <w:iCs/>
                <w:lang w:val="en-US" w:eastAsia="nl-NL"/>
              </w:rPr>
            </w:pPr>
          </w:p>
        </w:tc>
        <w:tc>
          <w:tcPr>
            <w:tcW w:w="1273" w:type="dxa"/>
            <w:gridSpan w:val="2"/>
            <w:tcBorders>
              <w:top w:val="single" w:sz="4" w:space="0" w:color="93B7BB"/>
            </w:tcBorders>
            <w:vAlign w:val="bottom"/>
          </w:tcPr>
          <w:p w14:paraId="551B9D03" w14:textId="77777777" w:rsidR="0036062A" w:rsidRPr="00594FCF" w:rsidRDefault="0036062A" w:rsidP="007819FB">
            <w:pPr>
              <w:pStyle w:val="Tabletext"/>
              <w:keepNext/>
              <w:keepLines/>
              <w:jc w:val="right"/>
              <w:rPr>
                <w:b/>
                <w:bCs/>
                <w:iCs/>
                <w:lang w:val="en-US" w:eastAsia="nl-NL"/>
              </w:rPr>
            </w:pPr>
          </w:p>
        </w:tc>
        <w:tc>
          <w:tcPr>
            <w:tcW w:w="1218" w:type="dxa"/>
            <w:tcBorders>
              <w:top w:val="single" w:sz="4" w:space="0" w:color="93B7BB"/>
            </w:tcBorders>
            <w:shd w:val="clear" w:color="auto" w:fill="EFF4F5"/>
            <w:vAlign w:val="bottom"/>
          </w:tcPr>
          <w:p w14:paraId="1F634D2B" w14:textId="77777777" w:rsidR="0036062A" w:rsidRPr="00594FCF" w:rsidRDefault="0036062A" w:rsidP="007819FB">
            <w:pPr>
              <w:pStyle w:val="Tabletext"/>
              <w:keepNext/>
              <w:keepLines/>
              <w:jc w:val="right"/>
            </w:pPr>
          </w:p>
        </w:tc>
        <w:tc>
          <w:tcPr>
            <w:tcW w:w="1289" w:type="dxa"/>
            <w:tcBorders>
              <w:top w:val="single" w:sz="4" w:space="0" w:color="93B7BB"/>
            </w:tcBorders>
            <w:vAlign w:val="bottom"/>
          </w:tcPr>
          <w:p w14:paraId="3F942344" w14:textId="77777777" w:rsidR="0036062A" w:rsidRPr="00594FCF" w:rsidRDefault="0036062A" w:rsidP="007819FB">
            <w:pPr>
              <w:pStyle w:val="Tabletext"/>
              <w:keepNext/>
              <w:keepLines/>
              <w:jc w:val="right"/>
            </w:pPr>
          </w:p>
        </w:tc>
        <w:tc>
          <w:tcPr>
            <w:tcW w:w="1289" w:type="dxa"/>
            <w:tcBorders>
              <w:top w:val="single" w:sz="4" w:space="0" w:color="93B7BB"/>
            </w:tcBorders>
          </w:tcPr>
          <w:p w14:paraId="3119CDD5" w14:textId="77777777" w:rsidR="0036062A" w:rsidRPr="00594FCF" w:rsidRDefault="0036062A" w:rsidP="007819FB">
            <w:pPr>
              <w:pStyle w:val="Tabletext"/>
              <w:keepNext/>
              <w:keepLines/>
              <w:jc w:val="right"/>
            </w:pPr>
          </w:p>
        </w:tc>
      </w:tr>
      <w:tr w:rsidR="0036062A" w:rsidRPr="00594FCF" w14:paraId="7251BA45" w14:textId="77777777" w:rsidTr="007819FB">
        <w:tc>
          <w:tcPr>
            <w:tcW w:w="3828" w:type="dxa"/>
            <w:vAlign w:val="bottom"/>
          </w:tcPr>
          <w:p w14:paraId="29C1F815" w14:textId="77777777" w:rsidR="0036062A" w:rsidRPr="00594FCF" w:rsidRDefault="0036062A" w:rsidP="007819FB">
            <w:pPr>
              <w:pStyle w:val="Tabletext"/>
              <w:keepNext/>
              <w:keepLines/>
            </w:pPr>
            <w:r w:rsidRPr="00594FCF">
              <w:rPr>
                <w:b/>
                <w:bCs/>
                <w:iCs/>
                <w:lang w:val="en-US" w:eastAsia="nl-NL"/>
              </w:rPr>
              <w:t>EQUITY AND LIABILITIES</w:t>
            </w:r>
          </w:p>
        </w:tc>
        <w:tc>
          <w:tcPr>
            <w:tcW w:w="1273" w:type="dxa"/>
            <w:gridSpan w:val="2"/>
            <w:vAlign w:val="bottom"/>
          </w:tcPr>
          <w:p w14:paraId="1156FC92" w14:textId="77777777" w:rsidR="0036062A" w:rsidRPr="00594FCF" w:rsidRDefault="0036062A" w:rsidP="007819FB">
            <w:pPr>
              <w:pStyle w:val="Tabletext"/>
              <w:keepNext/>
              <w:keepLines/>
              <w:jc w:val="right"/>
            </w:pPr>
          </w:p>
        </w:tc>
        <w:tc>
          <w:tcPr>
            <w:tcW w:w="1218" w:type="dxa"/>
            <w:shd w:val="clear" w:color="auto" w:fill="EFF4F5"/>
            <w:vAlign w:val="bottom"/>
          </w:tcPr>
          <w:p w14:paraId="512436B1" w14:textId="77777777" w:rsidR="0036062A" w:rsidRPr="00594FCF" w:rsidRDefault="0036062A" w:rsidP="007819FB">
            <w:pPr>
              <w:pStyle w:val="Tabletext"/>
              <w:keepNext/>
              <w:keepLines/>
              <w:jc w:val="right"/>
            </w:pPr>
          </w:p>
        </w:tc>
        <w:tc>
          <w:tcPr>
            <w:tcW w:w="1289" w:type="dxa"/>
            <w:vAlign w:val="bottom"/>
          </w:tcPr>
          <w:p w14:paraId="75531357" w14:textId="77777777" w:rsidR="0036062A" w:rsidRPr="00594FCF" w:rsidRDefault="0036062A" w:rsidP="007819FB">
            <w:pPr>
              <w:pStyle w:val="Tabletext"/>
              <w:keepNext/>
              <w:keepLines/>
              <w:jc w:val="right"/>
            </w:pPr>
          </w:p>
        </w:tc>
        <w:tc>
          <w:tcPr>
            <w:tcW w:w="1289" w:type="dxa"/>
          </w:tcPr>
          <w:p w14:paraId="0F19F827" w14:textId="77777777" w:rsidR="0036062A" w:rsidRPr="00594FCF" w:rsidRDefault="0036062A" w:rsidP="007819FB">
            <w:pPr>
              <w:pStyle w:val="Tabletext"/>
              <w:keepNext/>
              <w:keepLines/>
              <w:jc w:val="right"/>
            </w:pPr>
          </w:p>
        </w:tc>
      </w:tr>
      <w:tr w:rsidR="0036062A" w:rsidRPr="00594FCF" w14:paraId="5DF5C201" w14:textId="77777777" w:rsidTr="007819FB">
        <w:tc>
          <w:tcPr>
            <w:tcW w:w="3828" w:type="dxa"/>
            <w:vAlign w:val="bottom"/>
          </w:tcPr>
          <w:p w14:paraId="4463DB8F" w14:textId="77777777" w:rsidR="0036062A" w:rsidRPr="006D1B0B" w:rsidRDefault="0036062A" w:rsidP="007819FB">
            <w:pPr>
              <w:pStyle w:val="Tabletext"/>
              <w:keepNext/>
              <w:keepLines/>
              <w:rPr>
                <w:b/>
                <w:lang w:eastAsia="nl-NL"/>
              </w:rPr>
            </w:pPr>
            <w:r w:rsidRPr="006D1B0B">
              <w:rPr>
                <w:b/>
                <w:lang w:val="en-US" w:eastAsia="nl-NL"/>
              </w:rPr>
              <w:t>Equity</w:t>
            </w:r>
          </w:p>
        </w:tc>
        <w:tc>
          <w:tcPr>
            <w:tcW w:w="1258" w:type="dxa"/>
            <w:vAlign w:val="bottom"/>
          </w:tcPr>
          <w:p w14:paraId="45EAC568" w14:textId="77777777" w:rsidR="0036062A" w:rsidRPr="00594FCF" w:rsidRDefault="0036062A" w:rsidP="007819FB">
            <w:pPr>
              <w:pStyle w:val="Tabletext"/>
              <w:keepNext/>
              <w:keepLines/>
              <w:jc w:val="right"/>
            </w:pPr>
          </w:p>
        </w:tc>
        <w:tc>
          <w:tcPr>
            <w:tcW w:w="1233" w:type="dxa"/>
            <w:gridSpan w:val="2"/>
            <w:shd w:val="clear" w:color="auto" w:fill="EFF4F5"/>
            <w:vAlign w:val="bottom"/>
          </w:tcPr>
          <w:p w14:paraId="5AA3F30F" w14:textId="77777777" w:rsidR="0036062A" w:rsidRPr="00594FCF" w:rsidRDefault="0036062A" w:rsidP="007819FB">
            <w:pPr>
              <w:pStyle w:val="Tabletext"/>
              <w:keepNext/>
              <w:keepLines/>
              <w:jc w:val="right"/>
            </w:pPr>
          </w:p>
        </w:tc>
        <w:tc>
          <w:tcPr>
            <w:tcW w:w="1289" w:type="dxa"/>
            <w:vAlign w:val="bottom"/>
          </w:tcPr>
          <w:p w14:paraId="5EB05CD7" w14:textId="77777777" w:rsidR="0036062A" w:rsidRPr="00594FCF" w:rsidRDefault="0036062A" w:rsidP="007819FB">
            <w:pPr>
              <w:pStyle w:val="Tabletext"/>
              <w:keepNext/>
              <w:keepLines/>
              <w:jc w:val="right"/>
            </w:pPr>
          </w:p>
        </w:tc>
        <w:tc>
          <w:tcPr>
            <w:tcW w:w="1289" w:type="dxa"/>
          </w:tcPr>
          <w:p w14:paraId="2EE68E81" w14:textId="77777777" w:rsidR="0036062A" w:rsidRPr="00594FCF" w:rsidRDefault="0036062A" w:rsidP="007819FB">
            <w:pPr>
              <w:pStyle w:val="Tabletext"/>
              <w:keepNext/>
              <w:keepLines/>
              <w:jc w:val="right"/>
            </w:pPr>
          </w:p>
        </w:tc>
      </w:tr>
      <w:tr w:rsidR="0036062A" w:rsidRPr="00594FCF" w14:paraId="5B3E7843" w14:textId="77777777" w:rsidTr="007819FB">
        <w:tc>
          <w:tcPr>
            <w:tcW w:w="3828" w:type="dxa"/>
            <w:vAlign w:val="bottom"/>
          </w:tcPr>
          <w:p w14:paraId="382083B8" w14:textId="77777777" w:rsidR="0036062A" w:rsidRPr="00D73661" w:rsidRDefault="0036062A" w:rsidP="007819FB">
            <w:pPr>
              <w:pStyle w:val="Tabletext"/>
              <w:keepNext/>
              <w:keepLines/>
              <w:rPr>
                <w:lang w:eastAsia="nl-NL"/>
              </w:rPr>
            </w:pPr>
            <w:r w:rsidRPr="00D73661">
              <w:rPr>
                <w:lang w:val="en-US" w:eastAsia="nl-NL"/>
              </w:rPr>
              <w:t>Share capital</w:t>
            </w:r>
          </w:p>
        </w:tc>
        <w:tc>
          <w:tcPr>
            <w:tcW w:w="1258" w:type="dxa"/>
            <w:vAlign w:val="bottom"/>
          </w:tcPr>
          <w:p w14:paraId="5269FE23" w14:textId="52C638AA" w:rsidR="0036062A" w:rsidRPr="00594FCF" w:rsidRDefault="00914382" w:rsidP="007819FB">
            <w:pPr>
              <w:pStyle w:val="Tabletext"/>
              <w:keepNext/>
              <w:keepLines/>
              <w:jc w:val="right"/>
            </w:pPr>
            <w:r>
              <w:t>19</w:t>
            </w:r>
          </w:p>
        </w:tc>
        <w:tc>
          <w:tcPr>
            <w:tcW w:w="1233" w:type="dxa"/>
            <w:gridSpan w:val="2"/>
            <w:shd w:val="clear" w:color="auto" w:fill="EFF4F5"/>
            <w:vAlign w:val="bottom"/>
          </w:tcPr>
          <w:p w14:paraId="47476BD1" w14:textId="77777777" w:rsidR="0036062A" w:rsidRPr="00594FCF" w:rsidRDefault="0036062A" w:rsidP="007819FB">
            <w:pPr>
              <w:pStyle w:val="Tabletext"/>
              <w:keepNext/>
              <w:keepLines/>
              <w:jc w:val="right"/>
            </w:pPr>
            <w:r>
              <w:t>4.0</w:t>
            </w:r>
          </w:p>
        </w:tc>
        <w:tc>
          <w:tcPr>
            <w:tcW w:w="1289" w:type="dxa"/>
            <w:vAlign w:val="bottom"/>
          </w:tcPr>
          <w:p w14:paraId="1A00085F" w14:textId="77777777" w:rsidR="0036062A" w:rsidRPr="00594FCF" w:rsidRDefault="0036062A" w:rsidP="007819FB">
            <w:pPr>
              <w:pStyle w:val="Tabletext"/>
              <w:keepNext/>
              <w:keepLines/>
              <w:jc w:val="right"/>
            </w:pPr>
            <w:r w:rsidRPr="00594FCF">
              <w:t>4.0</w:t>
            </w:r>
          </w:p>
        </w:tc>
        <w:tc>
          <w:tcPr>
            <w:tcW w:w="1289" w:type="dxa"/>
          </w:tcPr>
          <w:p w14:paraId="0E4DD704" w14:textId="77777777" w:rsidR="0036062A" w:rsidRPr="00594FCF" w:rsidRDefault="0036062A" w:rsidP="007819FB">
            <w:pPr>
              <w:pStyle w:val="Tabletext"/>
              <w:keepNext/>
              <w:keepLines/>
              <w:jc w:val="right"/>
            </w:pPr>
            <w:r w:rsidRPr="00594FCF">
              <w:t>–</w:t>
            </w:r>
          </w:p>
        </w:tc>
      </w:tr>
      <w:tr w:rsidR="0036062A" w:rsidRPr="00594FCF" w14:paraId="3FB11008" w14:textId="77777777" w:rsidTr="007819FB">
        <w:tc>
          <w:tcPr>
            <w:tcW w:w="3828" w:type="dxa"/>
            <w:vAlign w:val="bottom"/>
          </w:tcPr>
          <w:p w14:paraId="06988AF2" w14:textId="77777777" w:rsidR="0036062A" w:rsidRPr="00D73661" w:rsidRDefault="0036062A" w:rsidP="007819FB">
            <w:pPr>
              <w:pStyle w:val="Tabletext"/>
              <w:keepNext/>
              <w:keepLines/>
              <w:rPr>
                <w:lang w:val="en-US" w:eastAsia="nl-NL"/>
              </w:rPr>
            </w:pPr>
            <w:r w:rsidRPr="00D73661">
              <w:rPr>
                <w:lang w:val="en-US" w:eastAsia="nl-NL"/>
              </w:rPr>
              <w:t>Share premium</w:t>
            </w:r>
          </w:p>
        </w:tc>
        <w:tc>
          <w:tcPr>
            <w:tcW w:w="1258" w:type="dxa"/>
            <w:vAlign w:val="bottom"/>
          </w:tcPr>
          <w:p w14:paraId="251708E8" w14:textId="77777777" w:rsidR="0036062A" w:rsidRPr="00594FCF" w:rsidRDefault="0036062A" w:rsidP="007819FB">
            <w:pPr>
              <w:pStyle w:val="Tabletext"/>
              <w:keepNext/>
              <w:keepLines/>
              <w:jc w:val="right"/>
            </w:pPr>
          </w:p>
        </w:tc>
        <w:tc>
          <w:tcPr>
            <w:tcW w:w="1233" w:type="dxa"/>
            <w:gridSpan w:val="2"/>
            <w:shd w:val="clear" w:color="auto" w:fill="EFF4F5"/>
            <w:vAlign w:val="bottom"/>
          </w:tcPr>
          <w:p w14:paraId="7FBD7F73" w14:textId="77777777" w:rsidR="0036062A" w:rsidRPr="00594FCF" w:rsidRDefault="0036062A" w:rsidP="007819FB">
            <w:pPr>
              <w:pStyle w:val="Tabletext"/>
              <w:keepNext/>
              <w:keepLines/>
              <w:jc w:val="right"/>
            </w:pPr>
            <w:r>
              <w:t>826.9</w:t>
            </w:r>
          </w:p>
        </w:tc>
        <w:tc>
          <w:tcPr>
            <w:tcW w:w="1289" w:type="dxa"/>
            <w:vAlign w:val="bottom"/>
          </w:tcPr>
          <w:p w14:paraId="23CF5072" w14:textId="77777777" w:rsidR="0036062A" w:rsidRPr="00594FCF" w:rsidRDefault="0036062A" w:rsidP="007819FB">
            <w:pPr>
              <w:pStyle w:val="Tabletext"/>
              <w:keepNext/>
              <w:keepLines/>
              <w:jc w:val="right"/>
            </w:pPr>
            <w:r w:rsidRPr="00594FCF">
              <w:t>826.9</w:t>
            </w:r>
          </w:p>
        </w:tc>
        <w:tc>
          <w:tcPr>
            <w:tcW w:w="1289" w:type="dxa"/>
          </w:tcPr>
          <w:p w14:paraId="634DEE05" w14:textId="77777777" w:rsidR="0036062A" w:rsidRPr="00594FCF" w:rsidRDefault="0036062A" w:rsidP="007819FB">
            <w:pPr>
              <w:pStyle w:val="Tabletext"/>
              <w:keepNext/>
              <w:keepLines/>
              <w:jc w:val="right"/>
            </w:pPr>
            <w:r w:rsidRPr="00594FCF">
              <w:t>–</w:t>
            </w:r>
          </w:p>
        </w:tc>
      </w:tr>
      <w:tr w:rsidR="0036062A" w:rsidRPr="00594FCF" w14:paraId="2A85D06D" w14:textId="77777777" w:rsidTr="007819FB">
        <w:tc>
          <w:tcPr>
            <w:tcW w:w="3828" w:type="dxa"/>
            <w:vAlign w:val="bottom"/>
          </w:tcPr>
          <w:p w14:paraId="06C0D10F" w14:textId="77777777" w:rsidR="0036062A" w:rsidRPr="00D73661" w:rsidRDefault="0036062A" w:rsidP="007819FB">
            <w:pPr>
              <w:pStyle w:val="Tabletext"/>
              <w:keepNext/>
              <w:keepLines/>
              <w:rPr>
                <w:lang w:eastAsia="nl-NL"/>
              </w:rPr>
            </w:pPr>
            <w:r w:rsidRPr="00D73661">
              <w:rPr>
                <w:lang w:val="en-US" w:eastAsia="nl-NL"/>
              </w:rPr>
              <w:t>Capital reserves</w:t>
            </w:r>
          </w:p>
        </w:tc>
        <w:tc>
          <w:tcPr>
            <w:tcW w:w="1258" w:type="dxa"/>
            <w:vAlign w:val="bottom"/>
          </w:tcPr>
          <w:p w14:paraId="2E20F13C" w14:textId="6FCEAB77" w:rsidR="0036062A" w:rsidRPr="00D34076" w:rsidRDefault="00914382" w:rsidP="007819FB">
            <w:pPr>
              <w:pStyle w:val="Tabletext"/>
              <w:keepNext/>
              <w:keepLines/>
              <w:jc w:val="right"/>
            </w:pPr>
            <w:r>
              <w:t>19</w:t>
            </w:r>
          </w:p>
        </w:tc>
        <w:tc>
          <w:tcPr>
            <w:tcW w:w="1233" w:type="dxa"/>
            <w:gridSpan w:val="2"/>
            <w:shd w:val="clear" w:color="auto" w:fill="EFF4F5"/>
            <w:vAlign w:val="bottom"/>
          </w:tcPr>
          <w:p w14:paraId="40D35AE5" w14:textId="77777777" w:rsidR="0036062A" w:rsidRPr="00594FCF" w:rsidRDefault="0036062A" w:rsidP="007819FB">
            <w:pPr>
              <w:pStyle w:val="Tabletext"/>
              <w:keepNext/>
              <w:keepLines/>
              <w:jc w:val="right"/>
            </w:pPr>
            <w:r>
              <w:t>376.1</w:t>
            </w:r>
          </w:p>
        </w:tc>
        <w:tc>
          <w:tcPr>
            <w:tcW w:w="1289" w:type="dxa"/>
            <w:vAlign w:val="bottom"/>
          </w:tcPr>
          <w:p w14:paraId="0752E3B4" w14:textId="77777777" w:rsidR="0036062A" w:rsidRPr="00594FCF" w:rsidRDefault="0036062A" w:rsidP="007819FB">
            <w:pPr>
              <w:pStyle w:val="Tabletext"/>
              <w:keepNext/>
              <w:keepLines/>
              <w:jc w:val="right"/>
            </w:pPr>
            <w:r w:rsidRPr="00594FCF">
              <w:t>376.1</w:t>
            </w:r>
          </w:p>
        </w:tc>
        <w:tc>
          <w:tcPr>
            <w:tcW w:w="1289" w:type="dxa"/>
          </w:tcPr>
          <w:p w14:paraId="11F62212" w14:textId="77777777" w:rsidR="0036062A" w:rsidRPr="00594FCF" w:rsidRDefault="0036062A" w:rsidP="007819FB">
            <w:pPr>
              <w:pStyle w:val="Tabletext"/>
              <w:keepNext/>
              <w:keepLines/>
              <w:jc w:val="right"/>
            </w:pPr>
            <w:r w:rsidRPr="00594FCF">
              <w:t>–</w:t>
            </w:r>
          </w:p>
        </w:tc>
      </w:tr>
      <w:tr w:rsidR="0036062A" w:rsidRPr="00594FCF" w14:paraId="3BC02A34" w14:textId="77777777" w:rsidTr="007819FB">
        <w:tc>
          <w:tcPr>
            <w:tcW w:w="3828" w:type="dxa"/>
            <w:vAlign w:val="bottom"/>
          </w:tcPr>
          <w:p w14:paraId="6A99AECD" w14:textId="77777777" w:rsidR="0036062A" w:rsidRPr="00D73661" w:rsidRDefault="0036062A" w:rsidP="007819FB">
            <w:pPr>
              <w:pStyle w:val="Tabletext"/>
              <w:keepNext/>
              <w:keepLines/>
              <w:rPr>
                <w:lang w:val="en-US" w:eastAsia="nl-NL"/>
              </w:rPr>
            </w:pPr>
            <w:r>
              <w:rPr>
                <w:lang w:val="en-US" w:eastAsia="nl-NL"/>
              </w:rPr>
              <w:t>Treasury share reserves</w:t>
            </w:r>
          </w:p>
        </w:tc>
        <w:tc>
          <w:tcPr>
            <w:tcW w:w="1258" w:type="dxa"/>
            <w:vAlign w:val="bottom"/>
          </w:tcPr>
          <w:p w14:paraId="24D3DA12" w14:textId="74EAFE1C" w:rsidR="0036062A" w:rsidRPr="00D34076" w:rsidRDefault="00914382" w:rsidP="0036062A">
            <w:pPr>
              <w:pStyle w:val="Tabletext"/>
              <w:keepNext/>
              <w:keepLines/>
              <w:jc w:val="right"/>
            </w:pPr>
            <w:r>
              <w:t>19</w:t>
            </w:r>
          </w:p>
        </w:tc>
        <w:tc>
          <w:tcPr>
            <w:tcW w:w="1233" w:type="dxa"/>
            <w:gridSpan w:val="2"/>
            <w:shd w:val="clear" w:color="auto" w:fill="EFF4F5"/>
            <w:vAlign w:val="bottom"/>
          </w:tcPr>
          <w:p w14:paraId="6E61B815" w14:textId="77777777" w:rsidR="0036062A" w:rsidRPr="00594FCF" w:rsidRDefault="0036062A" w:rsidP="007819FB">
            <w:pPr>
              <w:pStyle w:val="Tabletext"/>
              <w:keepNext/>
              <w:keepLines/>
              <w:jc w:val="right"/>
            </w:pPr>
            <w:r>
              <w:t>(5.6)</w:t>
            </w:r>
          </w:p>
        </w:tc>
        <w:tc>
          <w:tcPr>
            <w:tcW w:w="1289" w:type="dxa"/>
            <w:vAlign w:val="bottom"/>
          </w:tcPr>
          <w:p w14:paraId="35DFEBC6" w14:textId="77777777" w:rsidR="0036062A" w:rsidRPr="00594FCF" w:rsidRDefault="0036062A" w:rsidP="007819FB">
            <w:pPr>
              <w:pStyle w:val="Tabletext"/>
              <w:keepNext/>
              <w:keepLines/>
              <w:jc w:val="right"/>
            </w:pPr>
            <w:r w:rsidRPr="00594FCF">
              <w:t>–</w:t>
            </w:r>
          </w:p>
        </w:tc>
        <w:tc>
          <w:tcPr>
            <w:tcW w:w="1289" w:type="dxa"/>
          </w:tcPr>
          <w:p w14:paraId="6A64E55E" w14:textId="77777777" w:rsidR="0036062A" w:rsidRPr="00594FCF" w:rsidRDefault="0036062A" w:rsidP="007819FB">
            <w:pPr>
              <w:pStyle w:val="Tabletext"/>
              <w:keepNext/>
              <w:keepLines/>
              <w:jc w:val="right"/>
            </w:pPr>
            <w:r w:rsidRPr="00594FCF">
              <w:t>–</w:t>
            </w:r>
          </w:p>
        </w:tc>
      </w:tr>
      <w:tr w:rsidR="0036062A" w:rsidRPr="00594FCF" w14:paraId="7ECD23F3" w14:textId="77777777" w:rsidTr="007819FB">
        <w:tc>
          <w:tcPr>
            <w:tcW w:w="3828" w:type="dxa"/>
            <w:tcBorders>
              <w:bottom w:val="single" w:sz="4" w:space="0" w:color="93B7BB"/>
            </w:tcBorders>
            <w:vAlign w:val="bottom"/>
          </w:tcPr>
          <w:p w14:paraId="561FEBAD" w14:textId="77777777" w:rsidR="0036062A" w:rsidRPr="00D73661" w:rsidRDefault="0036062A" w:rsidP="007819FB">
            <w:pPr>
              <w:pStyle w:val="Tabletext"/>
              <w:keepNext/>
              <w:keepLines/>
              <w:rPr>
                <w:lang w:val="en-US" w:eastAsia="nl-NL"/>
              </w:rPr>
            </w:pPr>
            <w:r w:rsidRPr="00D73661">
              <w:rPr>
                <w:lang w:val="en-US" w:eastAsia="nl-NL"/>
              </w:rPr>
              <w:t>Retained earnings</w:t>
            </w:r>
          </w:p>
        </w:tc>
        <w:tc>
          <w:tcPr>
            <w:tcW w:w="1258" w:type="dxa"/>
            <w:tcBorders>
              <w:bottom w:val="single" w:sz="4" w:space="0" w:color="93B7BB"/>
            </w:tcBorders>
            <w:vAlign w:val="bottom"/>
          </w:tcPr>
          <w:p w14:paraId="21A11D12" w14:textId="77777777" w:rsidR="0036062A" w:rsidRPr="00594FCF" w:rsidRDefault="0036062A" w:rsidP="007819FB">
            <w:pPr>
              <w:pStyle w:val="Tabletext"/>
              <w:keepNext/>
              <w:keepLines/>
              <w:jc w:val="right"/>
            </w:pPr>
          </w:p>
        </w:tc>
        <w:tc>
          <w:tcPr>
            <w:tcW w:w="1233" w:type="dxa"/>
            <w:gridSpan w:val="2"/>
            <w:tcBorders>
              <w:bottom w:val="single" w:sz="4" w:space="0" w:color="93B7BB"/>
            </w:tcBorders>
            <w:shd w:val="clear" w:color="auto" w:fill="EFF4F5"/>
            <w:vAlign w:val="bottom"/>
          </w:tcPr>
          <w:p w14:paraId="3CE5117B" w14:textId="0982C552" w:rsidR="0036062A" w:rsidRPr="00594FCF" w:rsidRDefault="00F0776B" w:rsidP="007819FB">
            <w:pPr>
              <w:pStyle w:val="Tabletext"/>
              <w:keepNext/>
              <w:keepLines/>
              <w:jc w:val="right"/>
            </w:pPr>
            <w:r>
              <w:t>(203.8)</w:t>
            </w:r>
          </w:p>
        </w:tc>
        <w:tc>
          <w:tcPr>
            <w:tcW w:w="1289" w:type="dxa"/>
            <w:tcBorders>
              <w:bottom w:val="single" w:sz="4" w:space="0" w:color="93B7BB"/>
            </w:tcBorders>
            <w:vAlign w:val="bottom"/>
          </w:tcPr>
          <w:p w14:paraId="3ADC82A3" w14:textId="77777777" w:rsidR="0036062A" w:rsidRPr="00594FCF" w:rsidRDefault="0036062A" w:rsidP="007819FB">
            <w:pPr>
              <w:pStyle w:val="Tabletext"/>
              <w:keepNext/>
              <w:keepLines/>
              <w:jc w:val="right"/>
            </w:pPr>
            <w:r w:rsidRPr="00594FCF">
              <w:t>(</w:t>
            </w:r>
            <w:r>
              <w:t>252.0</w:t>
            </w:r>
            <w:r w:rsidRPr="00594FCF">
              <w:t>)</w:t>
            </w:r>
          </w:p>
        </w:tc>
        <w:tc>
          <w:tcPr>
            <w:tcW w:w="1289" w:type="dxa"/>
            <w:tcBorders>
              <w:bottom w:val="single" w:sz="4" w:space="0" w:color="93B7BB"/>
            </w:tcBorders>
          </w:tcPr>
          <w:p w14:paraId="388C70B8" w14:textId="77777777" w:rsidR="0036062A" w:rsidRPr="00594FCF" w:rsidRDefault="0036062A" w:rsidP="007819FB">
            <w:pPr>
              <w:pStyle w:val="Tabletext"/>
              <w:keepNext/>
              <w:keepLines/>
              <w:jc w:val="right"/>
            </w:pPr>
            <w:r>
              <w:t>(261.2)</w:t>
            </w:r>
          </w:p>
        </w:tc>
      </w:tr>
      <w:tr w:rsidR="0036062A" w:rsidRPr="00594FCF" w14:paraId="161E7F9F" w14:textId="77777777" w:rsidTr="007819FB">
        <w:tc>
          <w:tcPr>
            <w:tcW w:w="3828" w:type="dxa"/>
            <w:tcBorders>
              <w:top w:val="single" w:sz="4" w:space="0" w:color="93B7BB"/>
            </w:tcBorders>
            <w:vAlign w:val="bottom"/>
          </w:tcPr>
          <w:p w14:paraId="1EE90AB4" w14:textId="77777777" w:rsidR="0036062A" w:rsidRPr="00D73661" w:rsidRDefault="0036062A" w:rsidP="007819FB">
            <w:pPr>
              <w:pStyle w:val="Tabletext"/>
              <w:rPr>
                <w:lang w:val="en-US" w:eastAsia="nl-NL"/>
              </w:rPr>
            </w:pPr>
            <w:r w:rsidRPr="00D73661">
              <w:rPr>
                <w:lang w:val="en-US" w:eastAsia="nl-NL"/>
              </w:rPr>
              <w:t xml:space="preserve">Equity attributable to owners of the </w:t>
            </w:r>
            <w:r>
              <w:rPr>
                <w:lang w:val="en-US" w:eastAsia="nl-NL"/>
              </w:rPr>
              <w:t>P</w:t>
            </w:r>
            <w:r w:rsidRPr="00D73661">
              <w:rPr>
                <w:lang w:val="en-US" w:eastAsia="nl-NL"/>
              </w:rPr>
              <w:t>arent</w:t>
            </w:r>
          </w:p>
        </w:tc>
        <w:tc>
          <w:tcPr>
            <w:tcW w:w="1258" w:type="dxa"/>
            <w:tcBorders>
              <w:top w:val="single" w:sz="4" w:space="0" w:color="93B7BB"/>
            </w:tcBorders>
            <w:vAlign w:val="bottom"/>
          </w:tcPr>
          <w:p w14:paraId="6D4C64BE" w14:textId="77777777" w:rsidR="0036062A" w:rsidRPr="00594FCF" w:rsidRDefault="0036062A" w:rsidP="007819FB">
            <w:pPr>
              <w:pStyle w:val="Tabletext"/>
              <w:jc w:val="right"/>
            </w:pPr>
          </w:p>
        </w:tc>
        <w:tc>
          <w:tcPr>
            <w:tcW w:w="1233" w:type="dxa"/>
            <w:gridSpan w:val="2"/>
            <w:tcBorders>
              <w:top w:val="single" w:sz="4" w:space="0" w:color="93B7BB"/>
            </w:tcBorders>
            <w:shd w:val="clear" w:color="auto" w:fill="EFF4F5"/>
            <w:vAlign w:val="bottom"/>
          </w:tcPr>
          <w:p w14:paraId="26C1C68F" w14:textId="78D889B1" w:rsidR="0036062A" w:rsidRPr="00594FCF" w:rsidRDefault="00F0776B" w:rsidP="007819FB">
            <w:pPr>
              <w:pStyle w:val="Tabletext"/>
              <w:jc w:val="right"/>
            </w:pPr>
            <w:r>
              <w:t>997.6</w:t>
            </w:r>
          </w:p>
        </w:tc>
        <w:tc>
          <w:tcPr>
            <w:tcW w:w="1289" w:type="dxa"/>
            <w:tcBorders>
              <w:top w:val="single" w:sz="4" w:space="0" w:color="93B7BB"/>
            </w:tcBorders>
            <w:vAlign w:val="bottom"/>
          </w:tcPr>
          <w:p w14:paraId="72EB2766" w14:textId="77777777" w:rsidR="0036062A" w:rsidRPr="00594FCF" w:rsidRDefault="0036062A" w:rsidP="007819FB">
            <w:pPr>
              <w:pStyle w:val="Tabletext"/>
              <w:jc w:val="right"/>
            </w:pPr>
            <w:r>
              <w:t>955.0</w:t>
            </w:r>
          </w:p>
        </w:tc>
        <w:tc>
          <w:tcPr>
            <w:tcW w:w="1289" w:type="dxa"/>
            <w:tcBorders>
              <w:top w:val="single" w:sz="4" w:space="0" w:color="93B7BB"/>
            </w:tcBorders>
          </w:tcPr>
          <w:p w14:paraId="425370E3" w14:textId="77777777" w:rsidR="0036062A" w:rsidDel="00F7538C" w:rsidRDefault="0036062A" w:rsidP="007819FB">
            <w:pPr>
              <w:pStyle w:val="Tabletext"/>
              <w:jc w:val="right"/>
            </w:pPr>
            <w:r>
              <w:t>(261.2)</w:t>
            </w:r>
          </w:p>
        </w:tc>
      </w:tr>
      <w:tr w:rsidR="0036062A" w:rsidRPr="00594FCF" w14:paraId="03112F98" w14:textId="77777777" w:rsidTr="007819FB">
        <w:tc>
          <w:tcPr>
            <w:tcW w:w="3828" w:type="dxa"/>
            <w:tcBorders>
              <w:bottom w:val="single" w:sz="4" w:space="0" w:color="93B7BB"/>
            </w:tcBorders>
            <w:vAlign w:val="bottom"/>
          </w:tcPr>
          <w:p w14:paraId="2B12B15B" w14:textId="77777777" w:rsidR="0036062A" w:rsidRPr="00D73661" w:rsidRDefault="0036062A" w:rsidP="007819FB">
            <w:pPr>
              <w:pStyle w:val="Tabletext"/>
              <w:rPr>
                <w:lang w:val="en-US" w:eastAsia="nl-NL"/>
              </w:rPr>
            </w:pPr>
            <w:r w:rsidRPr="00D73661">
              <w:rPr>
                <w:lang w:val="en-US" w:eastAsia="nl-NL"/>
              </w:rPr>
              <w:t>Non–controlling interests</w:t>
            </w:r>
          </w:p>
        </w:tc>
        <w:tc>
          <w:tcPr>
            <w:tcW w:w="1258" w:type="dxa"/>
            <w:tcBorders>
              <w:bottom w:val="single" w:sz="4" w:space="0" w:color="93B7BB"/>
            </w:tcBorders>
            <w:vAlign w:val="bottom"/>
          </w:tcPr>
          <w:p w14:paraId="072ACB8D" w14:textId="77777777" w:rsidR="0036062A" w:rsidRPr="00594FCF" w:rsidRDefault="0036062A" w:rsidP="007819FB">
            <w:pPr>
              <w:pStyle w:val="Tabletext"/>
              <w:jc w:val="right"/>
            </w:pPr>
          </w:p>
        </w:tc>
        <w:tc>
          <w:tcPr>
            <w:tcW w:w="1233" w:type="dxa"/>
            <w:gridSpan w:val="2"/>
            <w:tcBorders>
              <w:bottom w:val="single" w:sz="4" w:space="0" w:color="93B7BB"/>
            </w:tcBorders>
            <w:shd w:val="clear" w:color="auto" w:fill="EFF4F5"/>
            <w:vAlign w:val="bottom"/>
          </w:tcPr>
          <w:p w14:paraId="0FCF8B62" w14:textId="77777777" w:rsidR="0036062A" w:rsidRPr="00594FCF" w:rsidRDefault="0036062A" w:rsidP="007819FB">
            <w:pPr>
              <w:pStyle w:val="Tabletext"/>
              <w:jc w:val="right"/>
            </w:pPr>
            <w:r w:rsidRPr="00594FCF">
              <w:t>–</w:t>
            </w:r>
          </w:p>
        </w:tc>
        <w:tc>
          <w:tcPr>
            <w:tcW w:w="1289" w:type="dxa"/>
            <w:tcBorders>
              <w:bottom w:val="single" w:sz="4" w:space="0" w:color="93B7BB"/>
            </w:tcBorders>
            <w:vAlign w:val="bottom"/>
          </w:tcPr>
          <w:p w14:paraId="2822FA0E" w14:textId="77777777" w:rsidR="0036062A" w:rsidRPr="00594FCF" w:rsidRDefault="0036062A" w:rsidP="007819FB">
            <w:pPr>
              <w:pStyle w:val="Tabletext"/>
              <w:jc w:val="right"/>
            </w:pPr>
            <w:r w:rsidRPr="00594FCF">
              <w:t>–</w:t>
            </w:r>
          </w:p>
        </w:tc>
        <w:tc>
          <w:tcPr>
            <w:tcW w:w="1289" w:type="dxa"/>
            <w:tcBorders>
              <w:bottom w:val="single" w:sz="4" w:space="0" w:color="93B7BB"/>
            </w:tcBorders>
          </w:tcPr>
          <w:p w14:paraId="60DFC18D" w14:textId="77777777" w:rsidR="0036062A" w:rsidRPr="00594FCF" w:rsidRDefault="0036062A" w:rsidP="007819FB">
            <w:pPr>
              <w:pStyle w:val="Tabletext"/>
              <w:jc w:val="right"/>
            </w:pPr>
            <w:r w:rsidRPr="00594FCF">
              <w:t>–</w:t>
            </w:r>
          </w:p>
        </w:tc>
      </w:tr>
      <w:tr w:rsidR="0036062A" w:rsidRPr="00594FCF" w14:paraId="08534090" w14:textId="77777777" w:rsidTr="007819FB">
        <w:tc>
          <w:tcPr>
            <w:tcW w:w="3828" w:type="dxa"/>
            <w:tcBorders>
              <w:top w:val="single" w:sz="4" w:space="0" w:color="93B7BB"/>
              <w:bottom w:val="single" w:sz="4" w:space="0" w:color="93B7BB"/>
            </w:tcBorders>
            <w:vAlign w:val="bottom"/>
          </w:tcPr>
          <w:p w14:paraId="455B86E0" w14:textId="77777777" w:rsidR="0036062A" w:rsidRPr="00D73661" w:rsidRDefault="0036062A" w:rsidP="007819FB">
            <w:pPr>
              <w:pStyle w:val="Tabletext"/>
              <w:rPr>
                <w:b/>
                <w:lang w:eastAsia="nl-NL"/>
              </w:rPr>
            </w:pPr>
            <w:r w:rsidRPr="00D73661">
              <w:rPr>
                <w:b/>
                <w:lang w:val="en-US" w:eastAsia="nl-NL"/>
              </w:rPr>
              <w:t>Total equity</w:t>
            </w:r>
          </w:p>
        </w:tc>
        <w:tc>
          <w:tcPr>
            <w:tcW w:w="1258" w:type="dxa"/>
            <w:tcBorders>
              <w:top w:val="single" w:sz="4" w:space="0" w:color="93B7BB"/>
              <w:bottom w:val="single" w:sz="4" w:space="0" w:color="93B7BB"/>
            </w:tcBorders>
            <w:vAlign w:val="bottom"/>
          </w:tcPr>
          <w:p w14:paraId="6352231B" w14:textId="77777777" w:rsidR="0036062A" w:rsidRPr="00594FCF" w:rsidRDefault="0036062A" w:rsidP="007819FB">
            <w:pPr>
              <w:pStyle w:val="Tabletext"/>
              <w:jc w:val="right"/>
            </w:pPr>
          </w:p>
        </w:tc>
        <w:tc>
          <w:tcPr>
            <w:tcW w:w="1233" w:type="dxa"/>
            <w:gridSpan w:val="2"/>
            <w:tcBorders>
              <w:top w:val="single" w:sz="4" w:space="0" w:color="93B7BB"/>
              <w:bottom w:val="single" w:sz="4" w:space="0" w:color="93B7BB"/>
            </w:tcBorders>
            <w:shd w:val="clear" w:color="auto" w:fill="EFF4F5"/>
            <w:vAlign w:val="bottom"/>
          </w:tcPr>
          <w:p w14:paraId="6119AA95" w14:textId="26274044" w:rsidR="0036062A" w:rsidRPr="00D73661" w:rsidRDefault="00F0776B" w:rsidP="007819FB">
            <w:pPr>
              <w:pStyle w:val="Tabletext"/>
              <w:jc w:val="right"/>
              <w:rPr>
                <w:b/>
              </w:rPr>
            </w:pPr>
            <w:r>
              <w:rPr>
                <w:b/>
              </w:rPr>
              <w:t>997.6</w:t>
            </w:r>
          </w:p>
        </w:tc>
        <w:tc>
          <w:tcPr>
            <w:tcW w:w="1289" w:type="dxa"/>
            <w:tcBorders>
              <w:top w:val="single" w:sz="4" w:space="0" w:color="93B7BB"/>
              <w:bottom w:val="single" w:sz="4" w:space="0" w:color="93B7BB"/>
            </w:tcBorders>
            <w:vAlign w:val="bottom"/>
          </w:tcPr>
          <w:p w14:paraId="30B205EC" w14:textId="77777777" w:rsidR="0036062A" w:rsidRPr="00D73661" w:rsidRDefault="0036062A" w:rsidP="007819FB">
            <w:pPr>
              <w:pStyle w:val="Tabletext"/>
              <w:jc w:val="right"/>
              <w:rPr>
                <w:b/>
              </w:rPr>
            </w:pPr>
            <w:r>
              <w:rPr>
                <w:b/>
              </w:rPr>
              <w:t>955.0</w:t>
            </w:r>
          </w:p>
        </w:tc>
        <w:tc>
          <w:tcPr>
            <w:tcW w:w="1289" w:type="dxa"/>
            <w:tcBorders>
              <w:top w:val="single" w:sz="4" w:space="0" w:color="93B7BB"/>
              <w:bottom w:val="single" w:sz="4" w:space="0" w:color="93B7BB"/>
            </w:tcBorders>
          </w:tcPr>
          <w:p w14:paraId="389A08E0" w14:textId="77777777" w:rsidR="0036062A" w:rsidDel="00F7538C" w:rsidRDefault="0036062A" w:rsidP="007819FB">
            <w:pPr>
              <w:pStyle w:val="Tabletext"/>
              <w:jc w:val="right"/>
              <w:rPr>
                <w:b/>
              </w:rPr>
            </w:pPr>
            <w:r>
              <w:rPr>
                <w:b/>
              </w:rPr>
              <w:t>(261.2)</w:t>
            </w:r>
          </w:p>
        </w:tc>
      </w:tr>
      <w:tr w:rsidR="0036062A" w:rsidRPr="00594FCF" w14:paraId="07F6F229" w14:textId="77777777" w:rsidTr="007819FB">
        <w:tc>
          <w:tcPr>
            <w:tcW w:w="3828" w:type="dxa"/>
            <w:tcBorders>
              <w:top w:val="single" w:sz="4" w:space="0" w:color="93B7BB"/>
            </w:tcBorders>
            <w:vAlign w:val="bottom"/>
          </w:tcPr>
          <w:p w14:paraId="7CE076DA" w14:textId="77777777" w:rsidR="0036062A" w:rsidRPr="00D73661" w:rsidRDefault="0036062A" w:rsidP="007819FB">
            <w:pPr>
              <w:pStyle w:val="Tabletext"/>
              <w:rPr>
                <w:b/>
                <w:lang w:eastAsia="nl-NL"/>
              </w:rPr>
            </w:pPr>
            <w:r w:rsidRPr="00D73661">
              <w:rPr>
                <w:b/>
                <w:lang w:val="en-US" w:eastAsia="nl-NL"/>
              </w:rPr>
              <w:t>Non–current liabilities</w:t>
            </w:r>
          </w:p>
        </w:tc>
        <w:tc>
          <w:tcPr>
            <w:tcW w:w="1258" w:type="dxa"/>
            <w:tcBorders>
              <w:top w:val="single" w:sz="4" w:space="0" w:color="93B7BB"/>
            </w:tcBorders>
            <w:vAlign w:val="bottom"/>
          </w:tcPr>
          <w:p w14:paraId="4A3C7F48" w14:textId="77777777" w:rsidR="0036062A" w:rsidRPr="00594FCF" w:rsidRDefault="0036062A" w:rsidP="007819FB">
            <w:pPr>
              <w:pStyle w:val="Tabletext"/>
              <w:jc w:val="right"/>
            </w:pPr>
          </w:p>
        </w:tc>
        <w:tc>
          <w:tcPr>
            <w:tcW w:w="1233" w:type="dxa"/>
            <w:gridSpan w:val="2"/>
            <w:tcBorders>
              <w:top w:val="single" w:sz="4" w:space="0" w:color="93B7BB"/>
            </w:tcBorders>
            <w:shd w:val="clear" w:color="auto" w:fill="EFF4F5"/>
            <w:vAlign w:val="bottom"/>
          </w:tcPr>
          <w:p w14:paraId="0DEBD130" w14:textId="77777777" w:rsidR="0036062A" w:rsidRPr="00594FCF" w:rsidRDefault="0036062A" w:rsidP="007819FB">
            <w:pPr>
              <w:pStyle w:val="Tabletext"/>
              <w:jc w:val="right"/>
            </w:pPr>
          </w:p>
        </w:tc>
        <w:tc>
          <w:tcPr>
            <w:tcW w:w="1289" w:type="dxa"/>
            <w:tcBorders>
              <w:top w:val="single" w:sz="4" w:space="0" w:color="93B7BB"/>
            </w:tcBorders>
            <w:vAlign w:val="bottom"/>
          </w:tcPr>
          <w:p w14:paraId="2AC4E4B9" w14:textId="77777777" w:rsidR="0036062A" w:rsidRPr="00594FCF" w:rsidRDefault="0036062A" w:rsidP="007819FB">
            <w:pPr>
              <w:pStyle w:val="Tabletext"/>
              <w:jc w:val="right"/>
            </w:pPr>
          </w:p>
        </w:tc>
        <w:tc>
          <w:tcPr>
            <w:tcW w:w="1289" w:type="dxa"/>
            <w:tcBorders>
              <w:top w:val="single" w:sz="4" w:space="0" w:color="93B7BB"/>
            </w:tcBorders>
          </w:tcPr>
          <w:p w14:paraId="5E874F38" w14:textId="77777777" w:rsidR="0036062A" w:rsidRPr="00594FCF" w:rsidRDefault="0036062A" w:rsidP="007819FB">
            <w:pPr>
              <w:pStyle w:val="Tabletext"/>
              <w:jc w:val="right"/>
            </w:pPr>
          </w:p>
        </w:tc>
      </w:tr>
      <w:tr w:rsidR="0036062A" w:rsidRPr="00594FCF" w14:paraId="185F87EC" w14:textId="77777777" w:rsidTr="007819FB">
        <w:tc>
          <w:tcPr>
            <w:tcW w:w="3828" w:type="dxa"/>
            <w:vAlign w:val="bottom"/>
          </w:tcPr>
          <w:p w14:paraId="27B4C811" w14:textId="77777777" w:rsidR="0036062A" w:rsidRPr="00D73661" w:rsidRDefault="0036062A" w:rsidP="007819FB">
            <w:pPr>
              <w:pStyle w:val="Tabletext"/>
              <w:rPr>
                <w:lang w:eastAsia="nl-NL"/>
              </w:rPr>
            </w:pPr>
            <w:r w:rsidRPr="00D73661">
              <w:rPr>
                <w:lang w:val="en-US" w:eastAsia="nl-NL"/>
              </w:rPr>
              <w:t>Borrowings</w:t>
            </w:r>
          </w:p>
        </w:tc>
        <w:tc>
          <w:tcPr>
            <w:tcW w:w="1258" w:type="dxa"/>
            <w:vAlign w:val="bottom"/>
          </w:tcPr>
          <w:p w14:paraId="5D6BFE5A" w14:textId="5AB74099" w:rsidR="0036062A" w:rsidRPr="00594FCF" w:rsidRDefault="0036062A" w:rsidP="0036062A">
            <w:pPr>
              <w:pStyle w:val="Tabletext"/>
              <w:jc w:val="right"/>
            </w:pPr>
            <w:r w:rsidRPr="00594FCF">
              <w:t>1</w:t>
            </w:r>
            <w:r>
              <w:t>6</w:t>
            </w:r>
          </w:p>
        </w:tc>
        <w:tc>
          <w:tcPr>
            <w:tcW w:w="1233" w:type="dxa"/>
            <w:gridSpan w:val="2"/>
            <w:shd w:val="clear" w:color="auto" w:fill="EFF4F5"/>
            <w:vAlign w:val="bottom"/>
          </w:tcPr>
          <w:p w14:paraId="1309BC28" w14:textId="4AD93902" w:rsidR="0036062A" w:rsidRPr="00594FCF" w:rsidRDefault="00F0776B" w:rsidP="007819FB">
            <w:pPr>
              <w:pStyle w:val="Tabletext"/>
              <w:jc w:val="right"/>
            </w:pPr>
            <w:r>
              <w:t>493.5</w:t>
            </w:r>
          </w:p>
        </w:tc>
        <w:tc>
          <w:tcPr>
            <w:tcW w:w="1289" w:type="dxa"/>
            <w:vAlign w:val="bottom"/>
          </w:tcPr>
          <w:p w14:paraId="77840EDD" w14:textId="77777777" w:rsidR="0036062A" w:rsidRPr="00594FCF" w:rsidRDefault="0036062A" w:rsidP="007819FB">
            <w:pPr>
              <w:pStyle w:val="Tabletext"/>
              <w:jc w:val="right"/>
            </w:pPr>
            <w:r>
              <w:t>493</w:t>
            </w:r>
            <w:r w:rsidRPr="00594FCF">
              <w:t>.</w:t>
            </w:r>
            <w:r>
              <w:t>5</w:t>
            </w:r>
          </w:p>
        </w:tc>
        <w:tc>
          <w:tcPr>
            <w:tcW w:w="1289" w:type="dxa"/>
          </w:tcPr>
          <w:p w14:paraId="203B274D" w14:textId="77777777" w:rsidR="0036062A" w:rsidRDefault="0036062A" w:rsidP="007819FB">
            <w:pPr>
              <w:pStyle w:val="Tabletext"/>
              <w:jc w:val="right"/>
            </w:pPr>
            <w:r>
              <w:t>882.1</w:t>
            </w:r>
          </w:p>
        </w:tc>
      </w:tr>
      <w:tr w:rsidR="0036062A" w:rsidRPr="00594FCF" w14:paraId="6983B88F" w14:textId="77777777" w:rsidTr="007819FB">
        <w:tc>
          <w:tcPr>
            <w:tcW w:w="3828" w:type="dxa"/>
            <w:vAlign w:val="bottom"/>
          </w:tcPr>
          <w:p w14:paraId="23EE1F22" w14:textId="77777777" w:rsidR="0036062A" w:rsidRPr="00D73661" w:rsidRDefault="0036062A" w:rsidP="007819FB">
            <w:pPr>
              <w:pStyle w:val="Tabletext"/>
              <w:rPr>
                <w:lang w:val="en-US" w:eastAsia="nl-NL"/>
              </w:rPr>
            </w:pPr>
            <w:r>
              <w:rPr>
                <w:lang w:val="en-US" w:eastAsia="nl-NL"/>
              </w:rPr>
              <w:t>Derivative financial instrument</w:t>
            </w:r>
          </w:p>
        </w:tc>
        <w:tc>
          <w:tcPr>
            <w:tcW w:w="1258" w:type="dxa"/>
            <w:vAlign w:val="bottom"/>
          </w:tcPr>
          <w:p w14:paraId="012D3040" w14:textId="77777777" w:rsidR="0036062A" w:rsidRPr="00594FCF" w:rsidRDefault="0036062A" w:rsidP="007819FB">
            <w:pPr>
              <w:pStyle w:val="Tabletext"/>
              <w:jc w:val="right"/>
            </w:pPr>
          </w:p>
        </w:tc>
        <w:tc>
          <w:tcPr>
            <w:tcW w:w="1233" w:type="dxa"/>
            <w:gridSpan w:val="2"/>
            <w:shd w:val="clear" w:color="auto" w:fill="EFF4F5"/>
            <w:vAlign w:val="bottom"/>
          </w:tcPr>
          <w:p w14:paraId="3DA0B302" w14:textId="77777777" w:rsidR="0036062A" w:rsidRDefault="0036062A" w:rsidP="007819FB">
            <w:pPr>
              <w:pStyle w:val="Tabletext"/>
              <w:jc w:val="right"/>
            </w:pPr>
            <w:r w:rsidRPr="00594FCF">
              <w:t>–</w:t>
            </w:r>
          </w:p>
        </w:tc>
        <w:tc>
          <w:tcPr>
            <w:tcW w:w="1289" w:type="dxa"/>
            <w:vAlign w:val="bottom"/>
          </w:tcPr>
          <w:p w14:paraId="59003090" w14:textId="77777777" w:rsidR="0036062A" w:rsidRDefault="0036062A" w:rsidP="007819FB">
            <w:pPr>
              <w:pStyle w:val="Tabletext"/>
              <w:jc w:val="right"/>
            </w:pPr>
            <w:r w:rsidRPr="00594FCF">
              <w:t>–</w:t>
            </w:r>
          </w:p>
        </w:tc>
        <w:tc>
          <w:tcPr>
            <w:tcW w:w="1289" w:type="dxa"/>
          </w:tcPr>
          <w:p w14:paraId="7753EBA3" w14:textId="77777777" w:rsidR="0036062A" w:rsidRDefault="0036062A" w:rsidP="007819FB">
            <w:pPr>
              <w:pStyle w:val="Tabletext"/>
              <w:jc w:val="right"/>
            </w:pPr>
            <w:r>
              <w:t>52.4</w:t>
            </w:r>
          </w:p>
        </w:tc>
      </w:tr>
      <w:tr w:rsidR="0036062A" w:rsidRPr="00594FCF" w14:paraId="249095E0" w14:textId="77777777" w:rsidTr="007819FB">
        <w:tc>
          <w:tcPr>
            <w:tcW w:w="3828" w:type="dxa"/>
            <w:tcBorders>
              <w:bottom w:val="single" w:sz="4" w:space="0" w:color="93B7BB"/>
            </w:tcBorders>
            <w:vAlign w:val="bottom"/>
          </w:tcPr>
          <w:p w14:paraId="7D4C38F6" w14:textId="77777777" w:rsidR="0036062A" w:rsidRPr="00D73661" w:rsidRDefault="0036062A" w:rsidP="007819FB">
            <w:pPr>
              <w:pStyle w:val="Tabletext"/>
              <w:rPr>
                <w:lang w:eastAsia="nl-NL"/>
              </w:rPr>
            </w:pPr>
            <w:r w:rsidRPr="00D73661">
              <w:rPr>
                <w:lang w:val="en-US" w:eastAsia="nl-NL"/>
              </w:rPr>
              <w:t>Deferred tax liability</w:t>
            </w:r>
          </w:p>
        </w:tc>
        <w:tc>
          <w:tcPr>
            <w:tcW w:w="1258" w:type="dxa"/>
            <w:tcBorders>
              <w:bottom w:val="single" w:sz="4" w:space="0" w:color="93B7BB"/>
            </w:tcBorders>
            <w:vAlign w:val="bottom"/>
          </w:tcPr>
          <w:p w14:paraId="70322E99" w14:textId="77777777" w:rsidR="0036062A" w:rsidRPr="00594FCF" w:rsidRDefault="0036062A" w:rsidP="007819FB">
            <w:pPr>
              <w:pStyle w:val="Tabletext"/>
              <w:jc w:val="right"/>
            </w:pPr>
          </w:p>
        </w:tc>
        <w:tc>
          <w:tcPr>
            <w:tcW w:w="1233" w:type="dxa"/>
            <w:gridSpan w:val="2"/>
            <w:tcBorders>
              <w:bottom w:val="single" w:sz="4" w:space="0" w:color="93B7BB"/>
            </w:tcBorders>
            <w:shd w:val="clear" w:color="auto" w:fill="EFF4F5"/>
            <w:vAlign w:val="bottom"/>
          </w:tcPr>
          <w:p w14:paraId="50329FE3" w14:textId="0A6CE66F" w:rsidR="0036062A" w:rsidRPr="00594FCF" w:rsidRDefault="00F0776B" w:rsidP="007819FB">
            <w:pPr>
              <w:pStyle w:val="Tabletext"/>
              <w:jc w:val="right"/>
            </w:pPr>
            <w:r>
              <w:t>53.6</w:t>
            </w:r>
          </w:p>
        </w:tc>
        <w:tc>
          <w:tcPr>
            <w:tcW w:w="1289" w:type="dxa"/>
            <w:tcBorders>
              <w:bottom w:val="single" w:sz="4" w:space="0" w:color="93B7BB"/>
            </w:tcBorders>
            <w:vAlign w:val="bottom"/>
          </w:tcPr>
          <w:p w14:paraId="412CAE7E" w14:textId="77777777" w:rsidR="0036062A" w:rsidRPr="00594FCF" w:rsidRDefault="0036062A" w:rsidP="007819FB">
            <w:pPr>
              <w:pStyle w:val="Tabletext"/>
              <w:jc w:val="right"/>
            </w:pPr>
            <w:r>
              <w:t>47.8</w:t>
            </w:r>
          </w:p>
        </w:tc>
        <w:tc>
          <w:tcPr>
            <w:tcW w:w="1289" w:type="dxa"/>
            <w:tcBorders>
              <w:bottom w:val="single" w:sz="4" w:space="0" w:color="93B7BB"/>
            </w:tcBorders>
          </w:tcPr>
          <w:p w14:paraId="6A2EE83F" w14:textId="77777777" w:rsidR="0036062A" w:rsidRDefault="0036062A" w:rsidP="007819FB">
            <w:pPr>
              <w:pStyle w:val="Tabletext"/>
              <w:jc w:val="right"/>
            </w:pPr>
            <w:r>
              <w:t>77.1</w:t>
            </w:r>
          </w:p>
        </w:tc>
      </w:tr>
      <w:tr w:rsidR="0036062A" w:rsidRPr="00594FCF" w14:paraId="35BED6AE" w14:textId="77777777" w:rsidTr="007819FB">
        <w:tc>
          <w:tcPr>
            <w:tcW w:w="3828" w:type="dxa"/>
            <w:tcBorders>
              <w:top w:val="single" w:sz="4" w:space="0" w:color="93B7BB"/>
              <w:bottom w:val="single" w:sz="4" w:space="0" w:color="93B7BB"/>
            </w:tcBorders>
            <w:vAlign w:val="bottom"/>
          </w:tcPr>
          <w:p w14:paraId="59D275CF" w14:textId="77777777" w:rsidR="0036062A" w:rsidRPr="00D73661" w:rsidRDefault="0036062A" w:rsidP="007819FB">
            <w:pPr>
              <w:pStyle w:val="Tabletext"/>
              <w:rPr>
                <w:lang w:val="en-US" w:eastAsia="nl-NL"/>
              </w:rPr>
            </w:pPr>
          </w:p>
        </w:tc>
        <w:tc>
          <w:tcPr>
            <w:tcW w:w="1258" w:type="dxa"/>
            <w:tcBorders>
              <w:top w:val="single" w:sz="4" w:space="0" w:color="93B7BB"/>
              <w:bottom w:val="single" w:sz="4" w:space="0" w:color="93B7BB"/>
            </w:tcBorders>
            <w:vAlign w:val="bottom"/>
          </w:tcPr>
          <w:p w14:paraId="79FE7251" w14:textId="77777777" w:rsidR="0036062A" w:rsidRPr="00594FCF" w:rsidRDefault="0036062A" w:rsidP="007819FB">
            <w:pPr>
              <w:pStyle w:val="Tabletext"/>
              <w:jc w:val="right"/>
            </w:pPr>
          </w:p>
        </w:tc>
        <w:tc>
          <w:tcPr>
            <w:tcW w:w="1233" w:type="dxa"/>
            <w:gridSpan w:val="2"/>
            <w:tcBorders>
              <w:top w:val="single" w:sz="4" w:space="0" w:color="93B7BB"/>
              <w:bottom w:val="single" w:sz="4" w:space="0" w:color="93B7BB"/>
            </w:tcBorders>
            <w:shd w:val="clear" w:color="auto" w:fill="EFF4F5"/>
            <w:vAlign w:val="bottom"/>
          </w:tcPr>
          <w:p w14:paraId="317491C0" w14:textId="0ED0E899" w:rsidR="0036062A" w:rsidRPr="00594FCF" w:rsidRDefault="00F0776B" w:rsidP="007819FB">
            <w:pPr>
              <w:pStyle w:val="Tabletext"/>
              <w:jc w:val="right"/>
            </w:pPr>
            <w:r>
              <w:t>547.1</w:t>
            </w:r>
          </w:p>
        </w:tc>
        <w:tc>
          <w:tcPr>
            <w:tcW w:w="1289" w:type="dxa"/>
            <w:tcBorders>
              <w:top w:val="single" w:sz="4" w:space="0" w:color="93B7BB"/>
              <w:bottom w:val="single" w:sz="4" w:space="0" w:color="93B7BB"/>
            </w:tcBorders>
            <w:vAlign w:val="bottom"/>
          </w:tcPr>
          <w:p w14:paraId="60084432" w14:textId="77777777" w:rsidR="0036062A" w:rsidRPr="00594FCF" w:rsidRDefault="0036062A" w:rsidP="007819FB">
            <w:pPr>
              <w:pStyle w:val="Tabletext"/>
              <w:jc w:val="right"/>
            </w:pPr>
            <w:r>
              <w:t>541.3</w:t>
            </w:r>
          </w:p>
        </w:tc>
        <w:tc>
          <w:tcPr>
            <w:tcW w:w="1289" w:type="dxa"/>
            <w:tcBorders>
              <w:top w:val="single" w:sz="4" w:space="0" w:color="93B7BB"/>
              <w:bottom w:val="single" w:sz="4" w:space="0" w:color="93B7BB"/>
            </w:tcBorders>
          </w:tcPr>
          <w:p w14:paraId="382D1D03" w14:textId="77777777" w:rsidR="0036062A" w:rsidRDefault="0036062A" w:rsidP="007819FB">
            <w:pPr>
              <w:pStyle w:val="Tabletext"/>
              <w:jc w:val="right"/>
            </w:pPr>
            <w:r>
              <w:t>1,011.6</w:t>
            </w:r>
          </w:p>
        </w:tc>
      </w:tr>
      <w:tr w:rsidR="0036062A" w:rsidRPr="00594FCF" w14:paraId="064F8821" w14:textId="77777777" w:rsidTr="007819FB">
        <w:tc>
          <w:tcPr>
            <w:tcW w:w="3828" w:type="dxa"/>
            <w:tcBorders>
              <w:top w:val="single" w:sz="4" w:space="0" w:color="93B7BB"/>
            </w:tcBorders>
            <w:vAlign w:val="bottom"/>
          </w:tcPr>
          <w:p w14:paraId="753E9BD6" w14:textId="77777777" w:rsidR="0036062A" w:rsidRPr="00D73661" w:rsidRDefault="0036062A" w:rsidP="007819FB">
            <w:pPr>
              <w:pStyle w:val="Tabletext"/>
              <w:rPr>
                <w:b/>
                <w:lang w:eastAsia="nl-NL"/>
              </w:rPr>
            </w:pPr>
            <w:r w:rsidRPr="00D73661">
              <w:rPr>
                <w:b/>
                <w:lang w:val="en-US" w:eastAsia="nl-NL"/>
              </w:rPr>
              <w:t>Current liabilities</w:t>
            </w:r>
          </w:p>
        </w:tc>
        <w:tc>
          <w:tcPr>
            <w:tcW w:w="1258" w:type="dxa"/>
            <w:tcBorders>
              <w:top w:val="single" w:sz="4" w:space="0" w:color="93B7BB"/>
            </w:tcBorders>
            <w:vAlign w:val="bottom"/>
          </w:tcPr>
          <w:p w14:paraId="7DED5DA5" w14:textId="77777777" w:rsidR="0036062A" w:rsidRPr="00594FCF" w:rsidRDefault="0036062A" w:rsidP="007819FB">
            <w:pPr>
              <w:pStyle w:val="Tabletext"/>
              <w:jc w:val="right"/>
            </w:pPr>
          </w:p>
        </w:tc>
        <w:tc>
          <w:tcPr>
            <w:tcW w:w="1233" w:type="dxa"/>
            <w:gridSpan w:val="2"/>
            <w:tcBorders>
              <w:top w:val="single" w:sz="4" w:space="0" w:color="93B7BB"/>
            </w:tcBorders>
            <w:shd w:val="clear" w:color="auto" w:fill="EFF4F5"/>
            <w:vAlign w:val="bottom"/>
          </w:tcPr>
          <w:p w14:paraId="162E7B5B" w14:textId="77777777" w:rsidR="0036062A" w:rsidRPr="00594FCF" w:rsidRDefault="0036062A" w:rsidP="007819FB">
            <w:pPr>
              <w:pStyle w:val="Tabletext"/>
              <w:jc w:val="right"/>
            </w:pPr>
          </w:p>
        </w:tc>
        <w:tc>
          <w:tcPr>
            <w:tcW w:w="1289" w:type="dxa"/>
            <w:tcBorders>
              <w:top w:val="single" w:sz="4" w:space="0" w:color="93B7BB"/>
            </w:tcBorders>
            <w:vAlign w:val="bottom"/>
          </w:tcPr>
          <w:p w14:paraId="103F01A4" w14:textId="77777777" w:rsidR="0036062A" w:rsidRPr="00594FCF" w:rsidRDefault="0036062A" w:rsidP="007819FB">
            <w:pPr>
              <w:pStyle w:val="Tabletext"/>
              <w:jc w:val="right"/>
            </w:pPr>
          </w:p>
        </w:tc>
        <w:tc>
          <w:tcPr>
            <w:tcW w:w="1289" w:type="dxa"/>
            <w:tcBorders>
              <w:top w:val="single" w:sz="4" w:space="0" w:color="93B7BB"/>
            </w:tcBorders>
          </w:tcPr>
          <w:p w14:paraId="5C2EB12A" w14:textId="77777777" w:rsidR="0036062A" w:rsidRPr="00594FCF" w:rsidRDefault="0036062A" w:rsidP="007819FB">
            <w:pPr>
              <w:pStyle w:val="Tabletext"/>
              <w:jc w:val="right"/>
            </w:pPr>
          </w:p>
        </w:tc>
      </w:tr>
      <w:tr w:rsidR="00CC16A3" w:rsidRPr="00594FCF" w14:paraId="631B2A19" w14:textId="77777777" w:rsidTr="007819FB">
        <w:tc>
          <w:tcPr>
            <w:tcW w:w="3828" w:type="dxa"/>
            <w:vAlign w:val="bottom"/>
          </w:tcPr>
          <w:p w14:paraId="342614BC" w14:textId="77777777" w:rsidR="00CC16A3" w:rsidRPr="00D73661" w:rsidRDefault="00CC16A3" w:rsidP="007819FB">
            <w:pPr>
              <w:pStyle w:val="Tabletext"/>
              <w:rPr>
                <w:lang w:eastAsia="nl-NL"/>
              </w:rPr>
            </w:pPr>
            <w:r w:rsidRPr="00D73661">
              <w:rPr>
                <w:lang w:val="en-US" w:eastAsia="nl-NL"/>
              </w:rPr>
              <w:t>Provisions</w:t>
            </w:r>
          </w:p>
        </w:tc>
        <w:tc>
          <w:tcPr>
            <w:tcW w:w="1258" w:type="dxa"/>
            <w:vAlign w:val="bottom"/>
          </w:tcPr>
          <w:p w14:paraId="33F6335C" w14:textId="4F853FB1" w:rsidR="00CC16A3" w:rsidRPr="00594FCF" w:rsidRDefault="00CC16A3" w:rsidP="007819FB">
            <w:pPr>
              <w:pStyle w:val="Tabletext"/>
              <w:jc w:val="right"/>
            </w:pPr>
            <w:r>
              <w:t>17</w:t>
            </w:r>
          </w:p>
        </w:tc>
        <w:tc>
          <w:tcPr>
            <w:tcW w:w="1233" w:type="dxa"/>
            <w:gridSpan w:val="2"/>
            <w:shd w:val="clear" w:color="auto" w:fill="EFF4F5"/>
            <w:vAlign w:val="bottom"/>
          </w:tcPr>
          <w:p w14:paraId="071D19B5" w14:textId="096E6714" w:rsidR="00CC16A3" w:rsidRPr="00594FCF" w:rsidRDefault="00CC16A3" w:rsidP="00CC16A3">
            <w:pPr>
              <w:pStyle w:val="Tabletext"/>
              <w:jc w:val="right"/>
            </w:pPr>
            <w:r>
              <w:t>15.6</w:t>
            </w:r>
          </w:p>
        </w:tc>
        <w:tc>
          <w:tcPr>
            <w:tcW w:w="1289" w:type="dxa"/>
            <w:vAlign w:val="bottom"/>
          </w:tcPr>
          <w:p w14:paraId="026FDA99" w14:textId="77777777" w:rsidR="00CC16A3" w:rsidRPr="00594FCF" w:rsidRDefault="00CC16A3" w:rsidP="007819FB">
            <w:pPr>
              <w:pStyle w:val="Tabletext"/>
              <w:jc w:val="right"/>
            </w:pPr>
            <w:r>
              <w:t>6</w:t>
            </w:r>
            <w:r w:rsidRPr="00594FCF">
              <w:t>.2</w:t>
            </w:r>
          </w:p>
        </w:tc>
        <w:tc>
          <w:tcPr>
            <w:tcW w:w="1289" w:type="dxa"/>
          </w:tcPr>
          <w:p w14:paraId="1821C8A5" w14:textId="77777777" w:rsidR="00CC16A3" w:rsidRDefault="00CC16A3" w:rsidP="007819FB">
            <w:pPr>
              <w:pStyle w:val="Tabletext"/>
              <w:jc w:val="right"/>
            </w:pPr>
            <w:r>
              <w:t>3.2</w:t>
            </w:r>
          </w:p>
        </w:tc>
      </w:tr>
      <w:tr w:rsidR="00CC16A3" w:rsidRPr="00594FCF" w14:paraId="447776AD" w14:textId="77777777" w:rsidTr="007819FB">
        <w:tc>
          <w:tcPr>
            <w:tcW w:w="3828" w:type="dxa"/>
            <w:vAlign w:val="bottom"/>
          </w:tcPr>
          <w:p w14:paraId="242AEEDB" w14:textId="77777777" w:rsidR="00CC16A3" w:rsidRPr="00D73661" w:rsidRDefault="00CC16A3" w:rsidP="007819FB">
            <w:pPr>
              <w:pStyle w:val="Tabletext"/>
              <w:rPr>
                <w:lang w:eastAsia="nl-NL"/>
              </w:rPr>
            </w:pPr>
            <w:r w:rsidRPr="00D73661">
              <w:rPr>
                <w:lang w:val="en-US" w:eastAsia="nl-NL"/>
              </w:rPr>
              <w:t>Borrowings</w:t>
            </w:r>
          </w:p>
        </w:tc>
        <w:tc>
          <w:tcPr>
            <w:tcW w:w="1258" w:type="dxa"/>
            <w:vAlign w:val="bottom"/>
          </w:tcPr>
          <w:p w14:paraId="1E19FF02" w14:textId="0AA95D4E" w:rsidR="00CC16A3" w:rsidRPr="00594FCF" w:rsidRDefault="00CC16A3" w:rsidP="0036062A">
            <w:pPr>
              <w:pStyle w:val="Tabletext"/>
              <w:jc w:val="right"/>
            </w:pPr>
            <w:r w:rsidRPr="00594FCF">
              <w:t>1</w:t>
            </w:r>
            <w:r>
              <w:t>6</w:t>
            </w:r>
          </w:p>
        </w:tc>
        <w:tc>
          <w:tcPr>
            <w:tcW w:w="1233" w:type="dxa"/>
            <w:gridSpan w:val="2"/>
            <w:shd w:val="clear" w:color="auto" w:fill="EFF4F5"/>
            <w:vAlign w:val="bottom"/>
          </w:tcPr>
          <w:p w14:paraId="6658B316" w14:textId="38933AD6" w:rsidR="00CC16A3" w:rsidRPr="00594FCF" w:rsidRDefault="00CC16A3" w:rsidP="007819FB">
            <w:pPr>
              <w:pStyle w:val="Tabletext"/>
              <w:jc w:val="right"/>
            </w:pPr>
            <w:r>
              <w:t>4.9</w:t>
            </w:r>
          </w:p>
        </w:tc>
        <w:tc>
          <w:tcPr>
            <w:tcW w:w="1289" w:type="dxa"/>
            <w:vAlign w:val="bottom"/>
          </w:tcPr>
          <w:p w14:paraId="73DB3824" w14:textId="77777777" w:rsidR="00CC16A3" w:rsidRPr="00594FCF" w:rsidRDefault="00CC16A3" w:rsidP="007819FB">
            <w:pPr>
              <w:pStyle w:val="Tabletext"/>
              <w:jc w:val="right"/>
            </w:pPr>
            <w:r>
              <w:t>5</w:t>
            </w:r>
            <w:r w:rsidRPr="00594FCF">
              <w:t>.</w:t>
            </w:r>
            <w:r>
              <w:t>3</w:t>
            </w:r>
          </w:p>
        </w:tc>
        <w:tc>
          <w:tcPr>
            <w:tcW w:w="1289" w:type="dxa"/>
          </w:tcPr>
          <w:p w14:paraId="3C05C586" w14:textId="77777777" w:rsidR="00CC16A3" w:rsidRDefault="00CC16A3" w:rsidP="007819FB">
            <w:pPr>
              <w:pStyle w:val="Tabletext"/>
              <w:jc w:val="right"/>
            </w:pPr>
            <w:r>
              <w:t>746.8</w:t>
            </w:r>
          </w:p>
        </w:tc>
      </w:tr>
      <w:tr w:rsidR="00CC16A3" w:rsidRPr="00594FCF" w14:paraId="73A2FA01" w14:textId="77777777" w:rsidTr="007819FB">
        <w:tc>
          <w:tcPr>
            <w:tcW w:w="3828" w:type="dxa"/>
            <w:vAlign w:val="bottom"/>
          </w:tcPr>
          <w:p w14:paraId="3610B240" w14:textId="77777777" w:rsidR="00CC16A3" w:rsidRPr="00D73661" w:rsidRDefault="00CC16A3" w:rsidP="007819FB">
            <w:pPr>
              <w:pStyle w:val="Tabletext"/>
              <w:rPr>
                <w:lang w:val="en-US" w:eastAsia="nl-NL"/>
              </w:rPr>
            </w:pPr>
            <w:r>
              <w:rPr>
                <w:lang w:val="en-US" w:eastAsia="nl-NL"/>
              </w:rPr>
              <w:t>Derivative financial instrument</w:t>
            </w:r>
          </w:p>
        </w:tc>
        <w:tc>
          <w:tcPr>
            <w:tcW w:w="1258" w:type="dxa"/>
            <w:vAlign w:val="bottom"/>
          </w:tcPr>
          <w:p w14:paraId="39930E34" w14:textId="77777777" w:rsidR="00CC16A3" w:rsidRPr="00594FCF" w:rsidRDefault="00CC16A3" w:rsidP="007819FB">
            <w:pPr>
              <w:pStyle w:val="Tabletext"/>
              <w:jc w:val="right"/>
            </w:pPr>
          </w:p>
        </w:tc>
        <w:tc>
          <w:tcPr>
            <w:tcW w:w="1233" w:type="dxa"/>
            <w:gridSpan w:val="2"/>
            <w:shd w:val="clear" w:color="auto" w:fill="EFF4F5"/>
            <w:vAlign w:val="bottom"/>
          </w:tcPr>
          <w:p w14:paraId="5994A945" w14:textId="77777777" w:rsidR="00CC16A3" w:rsidRDefault="00CC16A3" w:rsidP="007819FB">
            <w:pPr>
              <w:pStyle w:val="Tabletext"/>
              <w:jc w:val="right"/>
            </w:pPr>
            <w:r w:rsidRPr="00594FCF">
              <w:t>–</w:t>
            </w:r>
          </w:p>
        </w:tc>
        <w:tc>
          <w:tcPr>
            <w:tcW w:w="1289" w:type="dxa"/>
            <w:vAlign w:val="bottom"/>
          </w:tcPr>
          <w:p w14:paraId="372EA7BD" w14:textId="77777777" w:rsidR="00CC16A3" w:rsidRDefault="00CC16A3" w:rsidP="007819FB">
            <w:pPr>
              <w:pStyle w:val="Tabletext"/>
              <w:jc w:val="right"/>
            </w:pPr>
            <w:r w:rsidRPr="00594FCF">
              <w:t>–</w:t>
            </w:r>
          </w:p>
        </w:tc>
        <w:tc>
          <w:tcPr>
            <w:tcW w:w="1289" w:type="dxa"/>
          </w:tcPr>
          <w:p w14:paraId="13E5D82D" w14:textId="77777777" w:rsidR="00CC16A3" w:rsidRDefault="00CC16A3" w:rsidP="007819FB">
            <w:pPr>
              <w:pStyle w:val="Tabletext"/>
              <w:jc w:val="right"/>
            </w:pPr>
            <w:r>
              <w:t>22.1</w:t>
            </w:r>
          </w:p>
        </w:tc>
      </w:tr>
      <w:tr w:rsidR="00CC16A3" w:rsidRPr="00594FCF" w14:paraId="5A1A1DF3" w14:textId="77777777" w:rsidTr="007819FB">
        <w:tc>
          <w:tcPr>
            <w:tcW w:w="3828" w:type="dxa"/>
            <w:vAlign w:val="bottom"/>
          </w:tcPr>
          <w:p w14:paraId="4E5DF964" w14:textId="77777777" w:rsidR="00CC16A3" w:rsidRPr="00D73661" w:rsidRDefault="00CC16A3" w:rsidP="007819FB">
            <w:pPr>
              <w:pStyle w:val="Tabletext"/>
              <w:rPr>
                <w:lang w:val="en-US" w:eastAsia="nl-NL"/>
              </w:rPr>
            </w:pPr>
            <w:r w:rsidRPr="00D73661">
              <w:rPr>
                <w:lang w:val="en-US" w:eastAsia="nl-NL"/>
              </w:rPr>
              <w:t>Trade and other payables</w:t>
            </w:r>
          </w:p>
        </w:tc>
        <w:tc>
          <w:tcPr>
            <w:tcW w:w="1258" w:type="dxa"/>
            <w:vAlign w:val="bottom"/>
          </w:tcPr>
          <w:p w14:paraId="06354314" w14:textId="229338CD" w:rsidR="00CC16A3" w:rsidRPr="00594FCF" w:rsidRDefault="00CC16A3" w:rsidP="00CC16A3">
            <w:pPr>
              <w:pStyle w:val="Tabletext"/>
              <w:jc w:val="right"/>
            </w:pPr>
            <w:r>
              <w:t>18</w:t>
            </w:r>
          </w:p>
        </w:tc>
        <w:tc>
          <w:tcPr>
            <w:tcW w:w="1233" w:type="dxa"/>
            <w:gridSpan w:val="2"/>
            <w:shd w:val="clear" w:color="auto" w:fill="EFF4F5"/>
            <w:vAlign w:val="bottom"/>
          </w:tcPr>
          <w:p w14:paraId="445B1043" w14:textId="5028E8E7" w:rsidR="00CC16A3" w:rsidRDefault="00CC16A3" w:rsidP="00CC16A3">
            <w:pPr>
              <w:pStyle w:val="Tabletext"/>
              <w:jc w:val="right"/>
            </w:pPr>
            <w:r>
              <w:t>90.3</w:t>
            </w:r>
          </w:p>
        </w:tc>
        <w:tc>
          <w:tcPr>
            <w:tcW w:w="1289" w:type="dxa"/>
            <w:vAlign w:val="bottom"/>
          </w:tcPr>
          <w:p w14:paraId="748BA471" w14:textId="77777777" w:rsidR="00CC16A3" w:rsidRDefault="00CC16A3" w:rsidP="007819FB">
            <w:pPr>
              <w:pStyle w:val="Tabletext"/>
              <w:jc w:val="right"/>
            </w:pPr>
            <w:r>
              <w:t>97.6</w:t>
            </w:r>
          </w:p>
        </w:tc>
        <w:tc>
          <w:tcPr>
            <w:tcW w:w="1289" w:type="dxa"/>
          </w:tcPr>
          <w:p w14:paraId="2C30758B" w14:textId="77777777" w:rsidR="00CC16A3" w:rsidRDefault="00CC16A3" w:rsidP="007819FB">
            <w:pPr>
              <w:pStyle w:val="Tabletext"/>
              <w:jc w:val="right"/>
            </w:pPr>
            <w:r>
              <w:t>87.0</w:t>
            </w:r>
          </w:p>
        </w:tc>
      </w:tr>
      <w:tr w:rsidR="00CC16A3" w:rsidRPr="00594FCF" w14:paraId="53B763CF" w14:textId="77777777" w:rsidTr="007819FB">
        <w:tc>
          <w:tcPr>
            <w:tcW w:w="3828" w:type="dxa"/>
            <w:tcBorders>
              <w:bottom w:val="single" w:sz="4" w:space="0" w:color="93B7BB"/>
            </w:tcBorders>
            <w:vAlign w:val="bottom"/>
          </w:tcPr>
          <w:p w14:paraId="36FBE5EB" w14:textId="77777777" w:rsidR="00CC16A3" w:rsidRPr="00D73661" w:rsidRDefault="00CC16A3" w:rsidP="007819FB">
            <w:pPr>
              <w:pStyle w:val="Tabletext"/>
              <w:rPr>
                <w:lang w:eastAsia="nl-NL"/>
              </w:rPr>
            </w:pPr>
            <w:r>
              <w:rPr>
                <w:lang w:val="en-US" w:eastAsia="nl-NL"/>
              </w:rPr>
              <w:t xml:space="preserve">Income tax payable </w:t>
            </w:r>
          </w:p>
        </w:tc>
        <w:tc>
          <w:tcPr>
            <w:tcW w:w="1258" w:type="dxa"/>
            <w:tcBorders>
              <w:bottom w:val="single" w:sz="4" w:space="0" w:color="93B7BB"/>
            </w:tcBorders>
            <w:vAlign w:val="bottom"/>
          </w:tcPr>
          <w:p w14:paraId="78B03EC3" w14:textId="77777777" w:rsidR="00CC16A3" w:rsidRPr="00594FCF" w:rsidRDefault="00CC16A3" w:rsidP="007819FB">
            <w:pPr>
              <w:pStyle w:val="Tabletext"/>
              <w:jc w:val="right"/>
            </w:pPr>
          </w:p>
        </w:tc>
        <w:tc>
          <w:tcPr>
            <w:tcW w:w="1233" w:type="dxa"/>
            <w:gridSpan w:val="2"/>
            <w:tcBorders>
              <w:bottom w:val="single" w:sz="4" w:space="0" w:color="93B7BB"/>
            </w:tcBorders>
            <w:shd w:val="clear" w:color="auto" w:fill="EFF4F5"/>
            <w:vAlign w:val="bottom"/>
          </w:tcPr>
          <w:p w14:paraId="1C64A93E" w14:textId="04DE7B8D" w:rsidR="00CC16A3" w:rsidRPr="00594FCF" w:rsidRDefault="00CC16A3" w:rsidP="007819FB">
            <w:pPr>
              <w:pStyle w:val="Tabletext"/>
              <w:jc w:val="right"/>
            </w:pPr>
            <w:r>
              <w:t>1.7</w:t>
            </w:r>
          </w:p>
        </w:tc>
        <w:tc>
          <w:tcPr>
            <w:tcW w:w="1289" w:type="dxa"/>
            <w:tcBorders>
              <w:bottom w:val="single" w:sz="4" w:space="0" w:color="93B7BB"/>
            </w:tcBorders>
            <w:vAlign w:val="bottom"/>
          </w:tcPr>
          <w:p w14:paraId="5CBD604D" w14:textId="77777777" w:rsidR="00CC16A3" w:rsidRPr="00DB50EC" w:rsidRDefault="00CC16A3" w:rsidP="007819FB">
            <w:pPr>
              <w:pStyle w:val="Tabletext"/>
              <w:jc w:val="right"/>
            </w:pPr>
            <w:r w:rsidRPr="00DB50EC">
              <w:t>0.</w:t>
            </w:r>
            <w:r>
              <w:t>7</w:t>
            </w:r>
          </w:p>
        </w:tc>
        <w:tc>
          <w:tcPr>
            <w:tcW w:w="1289" w:type="dxa"/>
            <w:tcBorders>
              <w:bottom w:val="single" w:sz="4" w:space="0" w:color="93B7BB"/>
            </w:tcBorders>
          </w:tcPr>
          <w:p w14:paraId="68244D53" w14:textId="77777777" w:rsidR="00CC16A3" w:rsidRPr="00DB50EC" w:rsidRDefault="00CC16A3" w:rsidP="007819FB">
            <w:pPr>
              <w:pStyle w:val="Tabletext"/>
              <w:jc w:val="right"/>
            </w:pPr>
            <w:r w:rsidRPr="00594FCF">
              <w:t>–</w:t>
            </w:r>
          </w:p>
        </w:tc>
      </w:tr>
      <w:tr w:rsidR="00CC16A3" w:rsidRPr="00594FCF" w14:paraId="672A8A7B" w14:textId="77777777" w:rsidTr="007819FB">
        <w:tc>
          <w:tcPr>
            <w:tcW w:w="3828" w:type="dxa"/>
            <w:tcBorders>
              <w:top w:val="single" w:sz="4" w:space="0" w:color="93B7BB"/>
              <w:bottom w:val="single" w:sz="4" w:space="0" w:color="93B7BB"/>
            </w:tcBorders>
            <w:vAlign w:val="bottom"/>
          </w:tcPr>
          <w:p w14:paraId="3D7CE34D" w14:textId="77777777" w:rsidR="00CC16A3" w:rsidRPr="00D73661" w:rsidRDefault="00CC16A3" w:rsidP="007819FB">
            <w:pPr>
              <w:pStyle w:val="Tabletext"/>
              <w:rPr>
                <w:lang w:val="en-US" w:eastAsia="nl-NL"/>
              </w:rPr>
            </w:pPr>
          </w:p>
        </w:tc>
        <w:tc>
          <w:tcPr>
            <w:tcW w:w="1258" w:type="dxa"/>
            <w:tcBorders>
              <w:top w:val="single" w:sz="4" w:space="0" w:color="93B7BB"/>
              <w:bottom w:val="single" w:sz="4" w:space="0" w:color="93B7BB"/>
            </w:tcBorders>
            <w:vAlign w:val="bottom"/>
          </w:tcPr>
          <w:p w14:paraId="7B28D869" w14:textId="77777777" w:rsidR="00CC16A3" w:rsidRPr="00594FCF" w:rsidRDefault="00CC16A3" w:rsidP="007819FB">
            <w:pPr>
              <w:pStyle w:val="Tabletext"/>
              <w:jc w:val="right"/>
              <w:rPr>
                <w:lang w:val="en-US" w:eastAsia="nl-NL"/>
              </w:rPr>
            </w:pPr>
          </w:p>
        </w:tc>
        <w:tc>
          <w:tcPr>
            <w:tcW w:w="1233" w:type="dxa"/>
            <w:gridSpan w:val="2"/>
            <w:tcBorders>
              <w:top w:val="single" w:sz="4" w:space="0" w:color="93B7BB"/>
              <w:bottom w:val="single" w:sz="4" w:space="0" w:color="93B7BB"/>
            </w:tcBorders>
            <w:shd w:val="clear" w:color="auto" w:fill="EFF4F5"/>
            <w:vAlign w:val="bottom"/>
          </w:tcPr>
          <w:p w14:paraId="6903335F" w14:textId="24013A30" w:rsidR="00CC16A3" w:rsidRPr="00594FCF" w:rsidRDefault="00CC16A3" w:rsidP="00CC16A3">
            <w:pPr>
              <w:pStyle w:val="Tabletext"/>
              <w:jc w:val="right"/>
              <w:rPr>
                <w:lang w:val="en-US" w:eastAsia="nl-NL"/>
              </w:rPr>
            </w:pPr>
            <w:r>
              <w:rPr>
                <w:lang w:val="en-US" w:eastAsia="nl-NL"/>
              </w:rPr>
              <w:t>112.5</w:t>
            </w:r>
          </w:p>
        </w:tc>
        <w:tc>
          <w:tcPr>
            <w:tcW w:w="1289" w:type="dxa"/>
            <w:tcBorders>
              <w:top w:val="single" w:sz="4" w:space="0" w:color="93B7BB"/>
              <w:bottom w:val="single" w:sz="4" w:space="0" w:color="93B7BB"/>
            </w:tcBorders>
            <w:vAlign w:val="bottom"/>
          </w:tcPr>
          <w:p w14:paraId="3AD6ADD6" w14:textId="77777777" w:rsidR="00CC16A3" w:rsidRPr="00594FCF" w:rsidRDefault="00CC16A3" w:rsidP="007819FB">
            <w:pPr>
              <w:pStyle w:val="Tabletext"/>
              <w:jc w:val="right"/>
              <w:rPr>
                <w:lang w:val="en-US" w:eastAsia="nl-NL"/>
              </w:rPr>
            </w:pPr>
            <w:r w:rsidRPr="00594FCF">
              <w:rPr>
                <w:lang w:val="en-US" w:eastAsia="nl-NL"/>
              </w:rPr>
              <w:t>10</w:t>
            </w:r>
            <w:r>
              <w:rPr>
                <w:lang w:val="en-US" w:eastAsia="nl-NL"/>
              </w:rPr>
              <w:t>9</w:t>
            </w:r>
            <w:r w:rsidRPr="00594FCF">
              <w:rPr>
                <w:lang w:val="en-US" w:eastAsia="nl-NL"/>
              </w:rPr>
              <w:t>.</w:t>
            </w:r>
            <w:r>
              <w:rPr>
                <w:lang w:val="en-US" w:eastAsia="nl-NL"/>
              </w:rPr>
              <w:t>8</w:t>
            </w:r>
          </w:p>
        </w:tc>
        <w:tc>
          <w:tcPr>
            <w:tcW w:w="1289" w:type="dxa"/>
            <w:tcBorders>
              <w:top w:val="single" w:sz="4" w:space="0" w:color="93B7BB"/>
              <w:bottom w:val="single" w:sz="4" w:space="0" w:color="93B7BB"/>
            </w:tcBorders>
          </w:tcPr>
          <w:p w14:paraId="58D7BAEA" w14:textId="77777777" w:rsidR="00CC16A3" w:rsidRPr="00594FCF" w:rsidRDefault="00CC16A3" w:rsidP="007819FB">
            <w:pPr>
              <w:pStyle w:val="Tabletext"/>
              <w:jc w:val="right"/>
              <w:rPr>
                <w:lang w:val="en-US" w:eastAsia="nl-NL"/>
              </w:rPr>
            </w:pPr>
            <w:r>
              <w:rPr>
                <w:lang w:val="en-US" w:eastAsia="nl-NL"/>
              </w:rPr>
              <w:t>859.1</w:t>
            </w:r>
          </w:p>
        </w:tc>
      </w:tr>
      <w:tr w:rsidR="00CC16A3" w:rsidRPr="00594FCF" w14:paraId="6A76D933" w14:textId="77777777" w:rsidTr="007819FB">
        <w:tc>
          <w:tcPr>
            <w:tcW w:w="3828" w:type="dxa"/>
            <w:tcBorders>
              <w:top w:val="single" w:sz="4" w:space="0" w:color="93B7BB"/>
              <w:bottom w:val="single" w:sz="4" w:space="0" w:color="93B7BB"/>
            </w:tcBorders>
            <w:vAlign w:val="bottom"/>
          </w:tcPr>
          <w:p w14:paraId="660F8AF7" w14:textId="77777777" w:rsidR="00CC16A3" w:rsidRPr="00D73661" w:rsidRDefault="00CC16A3" w:rsidP="007819FB">
            <w:pPr>
              <w:pStyle w:val="Tabletext"/>
              <w:rPr>
                <w:b/>
                <w:lang w:eastAsia="nl-NL"/>
              </w:rPr>
            </w:pPr>
            <w:r w:rsidRPr="00D73661">
              <w:rPr>
                <w:b/>
                <w:lang w:val="en-US" w:eastAsia="nl-NL"/>
              </w:rPr>
              <w:t>Total liabilities</w:t>
            </w:r>
          </w:p>
        </w:tc>
        <w:tc>
          <w:tcPr>
            <w:tcW w:w="1258" w:type="dxa"/>
            <w:tcBorders>
              <w:top w:val="single" w:sz="4" w:space="0" w:color="93B7BB"/>
              <w:bottom w:val="single" w:sz="4" w:space="0" w:color="93B7BB"/>
            </w:tcBorders>
            <w:vAlign w:val="bottom"/>
          </w:tcPr>
          <w:p w14:paraId="7D53105A" w14:textId="77777777" w:rsidR="00CC16A3" w:rsidRPr="00594FCF" w:rsidRDefault="00CC16A3" w:rsidP="007819FB">
            <w:pPr>
              <w:pStyle w:val="Tabletext"/>
              <w:jc w:val="right"/>
            </w:pPr>
          </w:p>
        </w:tc>
        <w:tc>
          <w:tcPr>
            <w:tcW w:w="1233" w:type="dxa"/>
            <w:gridSpan w:val="2"/>
            <w:tcBorders>
              <w:top w:val="single" w:sz="4" w:space="0" w:color="93B7BB"/>
              <w:bottom w:val="single" w:sz="4" w:space="0" w:color="93B7BB"/>
            </w:tcBorders>
            <w:shd w:val="clear" w:color="auto" w:fill="EFF4F5"/>
            <w:vAlign w:val="bottom"/>
          </w:tcPr>
          <w:p w14:paraId="76A738BD" w14:textId="78341965" w:rsidR="00CC16A3" w:rsidRPr="00D73661" w:rsidRDefault="00CC16A3" w:rsidP="00CC16A3">
            <w:pPr>
              <w:pStyle w:val="Tabletext"/>
              <w:jc w:val="right"/>
              <w:rPr>
                <w:b/>
              </w:rPr>
            </w:pPr>
            <w:r>
              <w:rPr>
                <w:b/>
              </w:rPr>
              <w:t>659.6</w:t>
            </w:r>
          </w:p>
        </w:tc>
        <w:tc>
          <w:tcPr>
            <w:tcW w:w="1289" w:type="dxa"/>
            <w:tcBorders>
              <w:top w:val="single" w:sz="4" w:space="0" w:color="93B7BB"/>
              <w:bottom w:val="single" w:sz="4" w:space="0" w:color="93B7BB"/>
            </w:tcBorders>
            <w:vAlign w:val="bottom"/>
          </w:tcPr>
          <w:p w14:paraId="0838A82B" w14:textId="77777777" w:rsidR="00CC16A3" w:rsidRPr="00D73661" w:rsidRDefault="00CC16A3" w:rsidP="007819FB">
            <w:pPr>
              <w:pStyle w:val="Tabletext"/>
              <w:jc w:val="right"/>
              <w:rPr>
                <w:b/>
              </w:rPr>
            </w:pPr>
            <w:r>
              <w:rPr>
                <w:b/>
              </w:rPr>
              <w:t>651.1</w:t>
            </w:r>
          </w:p>
        </w:tc>
        <w:tc>
          <w:tcPr>
            <w:tcW w:w="1289" w:type="dxa"/>
            <w:tcBorders>
              <w:top w:val="single" w:sz="4" w:space="0" w:color="93B7BB"/>
              <w:bottom w:val="single" w:sz="4" w:space="0" w:color="93B7BB"/>
            </w:tcBorders>
          </w:tcPr>
          <w:p w14:paraId="009836B1" w14:textId="77777777" w:rsidR="00CC16A3" w:rsidRPr="00D73661" w:rsidRDefault="00CC16A3" w:rsidP="007819FB">
            <w:pPr>
              <w:pStyle w:val="Tabletext"/>
              <w:jc w:val="right"/>
              <w:rPr>
                <w:b/>
              </w:rPr>
            </w:pPr>
            <w:r>
              <w:rPr>
                <w:b/>
              </w:rPr>
              <w:t>1,870.7</w:t>
            </w:r>
          </w:p>
        </w:tc>
      </w:tr>
      <w:tr w:rsidR="00CC16A3" w:rsidRPr="00594FCF" w14:paraId="6B1A1545" w14:textId="77777777" w:rsidTr="007819FB">
        <w:tc>
          <w:tcPr>
            <w:tcW w:w="3828" w:type="dxa"/>
            <w:tcBorders>
              <w:top w:val="single" w:sz="4" w:space="0" w:color="93B7BB"/>
              <w:bottom w:val="single" w:sz="4" w:space="0" w:color="93B7BB"/>
            </w:tcBorders>
            <w:vAlign w:val="bottom"/>
          </w:tcPr>
          <w:p w14:paraId="6C775C82" w14:textId="77777777" w:rsidR="00CC16A3" w:rsidRPr="00D73661" w:rsidRDefault="00CC16A3" w:rsidP="007819FB">
            <w:pPr>
              <w:pStyle w:val="Tabletext"/>
              <w:rPr>
                <w:b/>
              </w:rPr>
            </w:pPr>
            <w:r w:rsidRPr="00D73661">
              <w:rPr>
                <w:b/>
                <w:lang w:val="en-US" w:eastAsia="nl-NL"/>
              </w:rPr>
              <w:t>Total equity and liabilities</w:t>
            </w:r>
          </w:p>
        </w:tc>
        <w:tc>
          <w:tcPr>
            <w:tcW w:w="1258" w:type="dxa"/>
            <w:tcBorders>
              <w:top w:val="single" w:sz="4" w:space="0" w:color="93B7BB"/>
              <w:bottom w:val="single" w:sz="4" w:space="0" w:color="93B7BB"/>
            </w:tcBorders>
            <w:vAlign w:val="bottom"/>
          </w:tcPr>
          <w:p w14:paraId="3A24CA82" w14:textId="77777777" w:rsidR="00CC16A3" w:rsidRPr="00594FCF" w:rsidRDefault="00CC16A3" w:rsidP="007819FB">
            <w:pPr>
              <w:pStyle w:val="Tabletext"/>
              <w:jc w:val="right"/>
            </w:pPr>
          </w:p>
        </w:tc>
        <w:tc>
          <w:tcPr>
            <w:tcW w:w="1233" w:type="dxa"/>
            <w:gridSpan w:val="2"/>
            <w:tcBorders>
              <w:top w:val="single" w:sz="4" w:space="0" w:color="93B7BB"/>
              <w:bottom w:val="single" w:sz="4" w:space="0" w:color="93B7BB"/>
            </w:tcBorders>
            <w:shd w:val="clear" w:color="auto" w:fill="EFF4F5"/>
            <w:vAlign w:val="bottom"/>
          </w:tcPr>
          <w:p w14:paraId="3079AAA1" w14:textId="53172474" w:rsidR="00CC16A3" w:rsidRPr="00D73661" w:rsidRDefault="00CC16A3" w:rsidP="00CC16A3">
            <w:pPr>
              <w:pStyle w:val="Tabletext"/>
              <w:jc w:val="right"/>
              <w:rPr>
                <w:b/>
              </w:rPr>
            </w:pPr>
            <w:r>
              <w:rPr>
                <w:b/>
              </w:rPr>
              <w:t>1,657.2</w:t>
            </w:r>
          </w:p>
        </w:tc>
        <w:tc>
          <w:tcPr>
            <w:tcW w:w="1289" w:type="dxa"/>
            <w:tcBorders>
              <w:top w:val="single" w:sz="4" w:space="0" w:color="93B7BB"/>
              <w:bottom w:val="single" w:sz="4" w:space="0" w:color="93B7BB"/>
            </w:tcBorders>
            <w:vAlign w:val="bottom"/>
          </w:tcPr>
          <w:p w14:paraId="4693AE51" w14:textId="77777777" w:rsidR="00CC16A3" w:rsidRPr="00D73661" w:rsidRDefault="00CC16A3" w:rsidP="007819FB">
            <w:pPr>
              <w:pStyle w:val="Tabletext"/>
              <w:jc w:val="right"/>
              <w:rPr>
                <w:b/>
              </w:rPr>
            </w:pPr>
            <w:r>
              <w:rPr>
                <w:b/>
              </w:rPr>
              <w:t>1,606.1</w:t>
            </w:r>
          </w:p>
        </w:tc>
        <w:tc>
          <w:tcPr>
            <w:tcW w:w="1289" w:type="dxa"/>
            <w:tcBorders>
              <w:top w:val="single" w:sz="4" w:space="0" w:color="93B7BB"/>
              <w:bottom w:val="single" w:sz="4" w:space="0" w:color="93B7BB"/>
            </w:tcBorders>
          </w:tcPr>
          <w:p w14:paraId="2A932C5F" w14:textId="77777777" w:rsidR="00CC16A3" w:rsidRPr="00D73661" w:rsidDel="00F7538C" w:rsidRDefault="00CC16A3" w:rsidP="007819FB">
            <w:pPr>
              <w:pStyle w:val="Tabletext"/>
              <w:jc w:val="right"/>
              <w:rPr>
                <w:b/>
              </w:rPr>
            </w:pPr>
            <w:r>
              <w:rPr>
                <w:b/>
              </w:rPr>
              <w:t>1,609.5</w:t>
            </w:r>
          </w:p>
        </w:tc>
      </w:tr>
    </w:tbl>
    <w:p w14:paraId="3000924D" w14:textId="77777777" w:rsidR="0036062A" w:rsidRDefault="0036062A" w:rsidP="0036062A">
      <w:pPr>
        <w:pStyle w:val="Footnote"/>
      </w:pPr>
    </w:p>
    <w:p w14:paraId="20F963B3" w14:textId="36CC7DF3" w:rsidR="0036062A" w:rsidRDefault="0036062A" w:rsidP="0036062A">
      <w:pPr>
        <w:pStyle w:val="Footnote"/>
      </w:pPr>
      <w:r w:rsidRPr="00E45B24">
        <w:t xml:space="preserve">1 </w:t>
      </w:r>
      <w:r w:rsidRPr="00E45B24">
        <w:tab/>
        <w:t>D</w:t>
      </w:r>
      <w:r>
        <w:t xml:space="preserve">etails of the restatement are set out in note </w:t>
      </w:r>
      <w:r w:rsidRPr="00AB3C4C">
        <w:t>1</w:t>
      </w:r>
      <w:r>
        <w:t>4.</w:t>
      </w:r>
    </w:p>
    <w:p w14:paraId="07B518BD" w14:textId="77777777" w:rsidR="00725EE9" w:rsidRPr="00364452" w:rsidRDefault="00725EE9" w:rsidP="00364452">
      <w:pPr>
        <w:pStyle w:val="Heading1"/>
      </w:pPr>
      <w:r w:rsidRPr="00364452">
        <w:lastRenderedPageBreak/>
        <w:t>Consolidated statement of cash flows</w:t>
      </w:r>
    </w:p>
    <w:p w14:paraId="4982B18C" w14:textId="4C779563" w:rsidR="00725EE9" w:rsidRPr="00995B9E" w:rsidRDefault="00725EE9" w:rsidP="00364452">
      <w:pPr>
        <w:pStyle w:val="Heading3"/>
      </w:pPr>
      <w:r w:rsidRPr="00995B9E">
        <w:t>For the year ended 31 December 201</w:t>
      </w:r>
      <w:r w:rsidR="006326C2">
        <w:t>5</w:t>
      </w:r>
    </w:p>
    <w:tbl>
      <w:tblPr>
        <w:tblW w:w="9072" w:type="dxa"/>
        <w:tblLayout w:type="fixed"/>
        <w:tblCellMar>
          <w:left w:w="0" w:type="dxa"/>
          <w:right w:w="57" w:type="dxa"/>
        </w:tblCellMar>
        <w:tblLook w:val="0000" w:firstRow="0" w:lastRow="0" w:firstColumn="0" w:lastColumn="0" w:noHBand="0" w:noVBand="0"/>
      </w:tblPr>
      <w:tblGrid>
        <w:gridCol w:w="6084"/>
        <w:gridCol w:w="738"/>
        <w:gridCol w:w="11"/>
        <w:gridCol w:w="1129"/>
        <w:gridCol w:w="1074"/>
        <w:gridCol w:w="36"/>
      </w:tblGrid>
      <w:tr w:rsidR="00D73661" w:rsidRPr="00716EDB" w14:paraId="0AB5C721" w14:textId="77777777" w:rsidTr="007D31B0">
        <w:tc>
          <w:tcPr>
            <w:tcW w:w="6084" w:type="dxa"/>
            <w:tcBorders>
              <w:bottom w:val="single" w:sz="4" w:space="0" w:color="93B7BB"/>
            </w:tcBorders>
            <w:vAlign w:val="bottom"/>
          </w:tcPr>
          <w:p w14:paraId="35E22C1D" w14:textId="77777777" w:rsidR="00D73661" w:rsidRPr="00D73661" w:rsidRDefault="00D73661" w:rsidP="00D73661">
            <w:pPr>
              <w:pStyle w:val="Tableheading"/>
            </w:pPr>
            <w:r w:rsidRPr="00D73661">
              <w:t>(£ million)</w:t>
            </w:r>
          </w:p>
        </w:tc>
        <w:tc>
          <w:tcPr>
            <w:tcW w:w="749" w:type="dxa"/>
            <w:gridSpan w:val="2"/>
            <w:tcBorders>
              <w:bottom w:val="single" w:sz="4" w:space="0" w:color="93B7BB"/>
            </w:tcBorders>
            <w:vAlign w:val="bottom"/>
          </w:tcPr>
          <w:p w14:paraId="40C32FB9" w14:textId="77777777" w:rsidR="00D73661" w:rsidRPr="00D73661" w:rsidRDefault="00D73661" w:rsidP="00D73661">
            <w:pPr>
              <w:pStyle w:val="Tableheading"/>
              <w:jc w:val="right"/>
            </w:pPr>
            <w:r w:rsidRPr="00D73661">
              <w:t>Notes</w:t>
            </w:r>
          </w:p>
        </w:tc>
        <w:tc>
          <w:tcPr>
            <w:tcW w:w="1129" w:type="dxa"/>
            <w:tcBorders>
              <w:bottom w:val="single" w:sz="4" w:space="0" w:color="93B7BB"/>
            </w:tcBorders>
            <w:vAlign w:val="bottom"/>
          </w:tcPr>
          <w:p w14:paraId="1B0AA839" w14:textId="0CFC2334" w:rsidR="00D73661" w:rsidRPr="00D73661" w:rsidRDefault="00D73661" w:rsidP="006326C2">
            <w:pPr>
              <w:pStyle w:val="Tableheading"/>
              <w:jc w:val="right"/>
              <w:rPr>
                <w:b/>
              </w:rPr>
            </w:pPr>
            <w:r w:rsidRPr="00D73661">
              <w:rPr>
                <w:b/>
              </w:rPr>
              <w:t>201</w:t>
            </w:r>
            <w:r w:rsidR="006326C2">
              <w:rPr>
                <w:b/>
              </w:rPr>
              <w:t>5</w:t>
            </w:r>
          </w:p>
        </w:tc>
        <w:tc>
          <w:tcPr>
            <w:tcW w:w="1110" w:type="dxa"/>
            <w:gridSpan w:val="2"/>
            <w:tcBorders>
              <w:bottom w:val="single" w:sz="4" w:space="0" w:color="93B7BB"/>
            </w:tcBorders>
            <w:vAlign w:val="bottom"/>
          </w:tcPr>
          <w:p w14:paraId="02E44849" w14:textId="71E0FF60" w:rsidR="00D73661" w:rsidRPr="00D73661" w:rsidRDefault="00D73661" w:rsidP="006326C2">
            <w:pPr>
              <w:pStyle w:val="Tableheading"/>
              <w:jc w:val="right"/>
            </w:pPr>
            <w:r w:rsidRPr="00D73661">
              <w:t>201</w:t>
            </w:r>
            <w:r w:rsidR="006326C2">
              <w:t>4</w:t>
            </w:r>
          </w:p>
        </w:tc>
      </w:tr>
      <w:tr w:rsidR="00995B9E" w:rsidRPr="00716EDB" w14:paraId="36DABD91" w14:textId="77777777" w:rsidTr="007D31B0">
        <w:tc>
          <w:tcPr>
            <w:tcW w:w="6084" w:type="dxa"/>
            <w:tcBorders>
              <w:top w:val="single" w:sz="4" w:space="0" w:color="93B7BB"/>
            </w:tcBorders>
          </w:tcPr>
          <w:p w14:paraId="7AA4EFB7" w14:textId="77777777" w:rsidR="00725EE9" w:rsidRPr="00D73661" w:rsidRDefault="00725EE9" w:rsidP="00D73661">
            <w:pPr>
              <w:pStyle w:val="Tabletext"/>
              <w:rPr>
                <w:b/>
                <w:lang w:eastAsia="nl-NL"/>
              </w:rPr>
            </w:pPr>
            <w:r w:rsidRPr="00D73661">
              <w:rPr>
                <w:b/>
                <w:lang w:val="en-US" w:eastAsia="nl-NL"/>
              </w:rPr>
              <w:t>Cash flows from operating activities</w:t>
            </w:r>
          </w:p>
        </w:tc>
        <w:tc>
          <w:tcPr>
            <w:tcW w:w="749" w:type="dxa"/>
            <w:gridSpan w:val="2"/>
            <w:tcBorders>
              <w:top w:val="single" w:sz="4" w:space="0" w:color="93B7BB"/>
            </w:tcBorders>
            <w:vAlign w:val="bottom"/>
          </w:tcPr>
          <w:p w14:paraId="248D2F31" w14:textId="77777777" w:rsidR="00725EE9" w:rsidRPr="00D73661" w:rsidRDefault="00725EE9" w:rsidP="00D73661">
            <w:pPr>
              <w:pStyle w:val="Tabletext"/>
              <w:jc w:val="right"/>
            </w:pPr>
          </w:p>
        </w:tc>
        <w:tc>
          <w:tcPr>
            <w:tcW w:w="1129" w:type="dxa"/>
            <w:tcBorders>
              <w:top w:val="single" w:sz="4" w:space="0" w:color="93B7BB"/>
            </w:tcBorders>
            <w:shd w:val="clear" w:color="auto" w:fill="EFF4F5"/>
            <w:vAlign w:val="bottom"/>
          </w:tcPr>
          <w:p w14:paraId="57582EC2" w14:textId="77777777" w:rsidR="00725EE9" w:rsidRPr="00D73661" w:rsidRDefault="00725EE9" w:rsidP="00D73661">
            <w:pPr>
              <w:pStyle w:val="Tabletext"/>
              <w:jc w:val="right"/>
            </w:pPr>
          </w:p>
        </w:tc>
        <w:tc>
          <w:tcPr>
            <w:tcW w:w="1110" w:type="dxa"/>
            <w:gridSpan w:val="2"/>
            <w:tcBorders>
              <w:top w:val="single" w:sz="4" w:space="0" w:color="93B7BB"/>
            </w:tcBorders>
            <w:vAlign w:val="bottom"/>
          </w:tcPr>
          <w:p w14:paraId="6D06BF03" w14:textId="77777777" w:rsidR="00725EE9" w:rsidRPr="00D73661" w:rsidRDefault="00725EE9" w:rsidP="00D73661">
            <w:pPr>
              <w:pStyle w:val="Tabletext"/>
              <w:jc w:val="right"/>
            </w:pPr>
          </w:p>
        </w:tc>
      </w:tr>
      <w:tr w:rsidR="006326C2" w:rsidRPr="00716EDB" w14:paraId="41D540D5" w14:textId="77777777" w:rsidTr="007D31B0">
        <w:tc>
          <w:tcPr>
            <w:tcW w:w="6084" w:type="dxa"/>
          </w:tcPr>
          <w:p w14:paraId="00A737AD" w14:textId="7FBB843B" w:rsidR="006326C2" w:rsidRPr="00D73661" w:rsidRDefault="00F0776B" w:rsidP="00F0776B">
            <w:pPr>
              <w:pStyle w:val="Tabletext"/>
              <w:rPr>
                <w:lang w:eastAsia="nl-NL"/>
              </w:rPr>
            </w:pPr>
            <w:r>
              <w:rPr>
                <w:lang w:val="en-US" w:eastAsia="nl-NL"/>
              </w:rPr>
              <w:t>Profit / (l</w:t>
            </w:r>
            <w:r w:rsidR="006326C2" w:rsidRPr="00D73661">
              <w:rPr>
                <w:lang w:val="en-US" w:eastAsia="nl-NL"/>
              </w:rPr>
              <w:t>oss</w:t>
            </w:r>
            <w:r>
              <w:rPr>
                <w:lang w:val="en-US" w:eastAsia="nl-NL"/>
              </w:rPr>
              <w:t>)</w:t>
            </w:r>
            <w:r w:rsidR="006326C2" w:rsidRPr="00D73661">
              <w:rPr>
                <w:lang w:val="en-US" w:eastAsia="nl-NL"/>
              </w:rPr>
              <w:t xml:space="preserve"> before taxation</w:t>
            </w:r>
          </w:p>
        </w:tc>
        <w:tc>
          <w:tcPr>
            <w:tcW w:w="749" w:type="dxa"/>
            <w:gridSpan w:val="2"/>
            <w:vAlign w:val="bottom"/>
          </w:tcPr>
          <w:p w14:paraId="2A0F8CB7" w14:textId="77777777" w:rsidR="006326C2" w:rsidRPr="00D73661" w:rsidRDefault="006326C2" w:rsidP="00D73661">
            <w:pPr>
              <w:pStyle w:val="Tabletext"/>
              <w:jc w:val="right"/>
            </w:pPr>
          </w:p>
        </w:tc>
        <w:tc>
          <w:tcPr>
            <w:tcW w:w="1129" w:type="dxa"/>
            <w:shd w:val="clear" w:color="auto" w:fill="EFF4F5"/>
            <w:vAlign w:val="bottom"/>
          </w:tcPr>
          <w:p w14:paraId="31960A0C" w14:textId="57CCC03F" w:rsidR="006326C2" w:rsidRPr="001B45E4" w:rsidRDefault="00F0776B" w:rsidP="00D73661">
            <w:pPr>
              <w:pStyle w:val="Tabletext"/>
              <w:jc w:val="right"/>
              <w:rPr>
                <w:b/>
              </w:rPr>
            </w:pPr>
            <w:r>
              <w:rPr>
                <w:b/>
              </w:rPr>
              <w:t>73.6</w:t>
            </w:r>
          </w:p>
        </w:tc>
        <w:tc>
          <w:tcPr>
            <w:tcW w:w="1110" w:type="dxa"/>
            <w:gridSpan w:val="2"/>
            <w:vAlign w:val="bottom"/>
          </w:tcPr>
          <w:p w14:paraId="640C2ADD" w14:textId="3C0730C3" w:rsidR="006326C2" w:rsidRPr="00D73661" w:rsidRDefault="006326C2" w:rsidP="00D73661">
            <w:pPr>
              <w:pStyle w:val="Tabletext"/>
              <w:jc w:val="right"/>
            </w:pPr>
            <w:r w:rsidRPr="00D73661">
              <w:t>(7.0)</w:t>
            </w:r>
          </w:p>
        </w:tc>
      </w:tr>
      <w:tr w:rsidR="006326C2" w:rsidRPr="00716EDB" w14:paraId="5B431470" w14:textId="77777777" w:rsidTr="007D31B0">
        <w:tc>
          <w:tcPr>
            <w:tcW w:w="6084" w:type="dxa"/>
          </w:tcPr>
          <w:p w14:paraId="2D24F3C3" w14:textId="77777777" w:rsidR="006326C2" w:rsidRPr="00D73661" w:rsidRDefault="006326C2" w:rsidP="00D73661">
            <w:pPr>
              <w:pStyle w:val="Tabletext"/>
              <w:rPr>
                <w:lang w:eastAsia="nl-NL"/>
              </w:rPr>
            </w:pPr>
            <w:r w:rsidRPr="00D73661">
              <w:rPr>
                <w:lang w:val="en-US" w:eastAsia="nl-NL"/>
              </w:rPr>
              <w:t>Adjustments for:</w:t>
            </w:r>
          </w:p>
        </w:tc>
        <w:tc>
          <w:tcPr>
            <w:tcW w:w="749" w:type="dxa"/>
            <w:gridSpan w:val="2"/>
            <w:vAlign w:val="bottom"/>
          </w:tcPr>
          <w:p w14:paraId="7DA84525" w14:textId="77777777" w:rsidR="006326C2" w:rsidRPr="00D73661" w:rsidRDefault="006326C2" w:rsidP="00D73661">
            <w:pPr>
              <w:pStyle w:val="Tabletext"/>
              <w:jc w:val="right"/>
            </w:pPr>
          </w:p>
        </w:tc>
        <w:tc>
          <w:tcPr>
            <w:tcW w:w="1129" w:type="dxa"/>
            <w:shd w:val="clear" w:color="auto" w:fill="EFF4F5"/>
            <w:vAlign w:val="bottom"/>
          </w:tcPr>
          <w:p w14:paraId="3B719D52" w14:textId="77777777" w:rsidR="006326C2" w:rsidRPr="001B45E4" w:rsidRDefault="006326C2" w:rsidP="00D73661">
            <w:pPr>
              <w:pStyle w:val="Tabletext"/>
              <w:jc w:val="right"/>
              <w:rPr>
                <w:b/>
              </w:rPr>
            </w:pPr>
          </w:p>
        </w:tc>
        <w:tc>
          <w:tcPr>
            <w:tcW w:w="1110" w:type="dxa"/>
            <w:gridSpan w:val="2"/>
            <w:vAlign w:val="bottom"/>
          </w:tcPr>
          <w:p w14:paraId="10AD1674" w14:textId="77777777" w:rsidR="006326C2" w:rsidRPr="00D73661" w:rsidRDefault="006326C2" w:rsidP="00D73661">
            <w:pPr>
              <w:pStyle w:val="Tabletext"/>
              <w:jc w:val="right"/>
            </w:pPr>
          </w:p>
        </w:tc>
      </w:tr>
      <w:tr w:rsidR="006326C2" w:rsidRPr="00716EDB" w14:paraId="2CA8E61F" w14:textId="77777777" w:rsidTr="007D31B0">
        <w:tc>
          <w:tcPr>
            <w:tcW w:w="6084" w:type="dxa"/>
          </w:tcPr>
          <w:p w14:paraId="377404A6" w14:textId="1434FF28" w:rsidR="006326C2" w:rsidRPr="00D73661" w:rsidRDefault="000F057D" w:rsidP="00D73661">
            <w:pPr>
              <w:pStyle w:val="Tabletext"/>
              <w:ind w:left="142"/>
              <w:rPr>
                <w:lang w:eastAsia="nl-NL"/>
              </w:rPr>
            </w:pPr>
            <w:r>
              <w:rPr>
                <w:lang w:val="en-US" w:eastAsia="nl-NL"/>
              </w:rPr>
              <w:t>D</w:t>
            </w:r>
            <w:r w:rsidR="006326C2" w:rsidRPr="00D73661">
              <w:rPr>
                <w:lang w:val="en-US" w:eastAsia="nl-NL"/>
              </w:rPr>
              <w:t>epreciation</w:t>
            </w:r>
          </w:p>
        </w:tc>
        <w:tc>
          <w:tcPr>
            <w:tcW w:w="749" w:type="dxa"/>
            <w:gridSpan w:val="2"/>
            <w:vAlign w:val="bottom"/>
          </w:tcPr>
          <w:p w14:paraId="78E326B9" w14:textId="77777777" w:rsidR="006326C2" w:rsidRPr="00D73661" w:rsidRDefault="006326C2" w:rsidP="00D73661">
            <w:pPr>
              <w:pStyle w:val="Tabletext"/>
              <w:jc w:val="right"/>
            </w:pPr>
            <w:r w:rsidRPr="00D73661">
              <w:rPr>
                <w:iCs/>
              </w:rPr>
              <w:t>5</w:t>
            </w:r>
          </w:p>
        </w:tc>
        <w:tc>
          <w:tcPr>
            <w:tcW w:w="1129" w:type="dxa"/>
            <w:shd w:val="clear" w:color="auto" w:fill="EFF4F5"/>
            <w:vAlign w:val="bottom"/>
          </w:tcPr>
          <w:p w14:paraId="3D517FEB" w14:textId="64F8119E" w:rsidR="006326C2" w:rsidRPr="001B45E4" w:rsidRDefault="00F0776B" w:rsidP="00D73661">
            <w:pPr>
              <w:pStyle w:val="Tabletext"/>
              <w:jc w:val="right"/>
              <w:rPr>
                <w:b/>
              </w:rPr>
            </w:pPr>
            <w:r>
              <w:rPr>
                <w:b/>
              </w:rPr>
              <w:t>48.9</w:t>
            </w:r>
          </w:p>
        </w:tc>
        <w:tc>
          <w:tcPr>
            <w:tcW w:w="1110" w:type="dxa"/>
            <w:gridSpan w:val="2"/>
            <w:vAlign w:val="bottom"/>
          </w:tcPr>
          <w:p w14:paraId="7AA525D2" w14:textId="7627D64A" w:rsidR="006326C2" w:rsidRPr="00D73661" w:rsidRDefault="006326C2" w:rsidP="00D73661">
            <w:pPr>
              <w:pStyle w:val="Tabletext"/>
              <w:jc w:val="right"/>
            </w:pPr>
            <w:r w:rsidRPr="00D73661">
              <w:t>45.1</w:t>
            </w:r>
          </w:p>
        </w:tc>
      </w:tr>
      <w:tr w:rsidR="00F0776B" w:rsidRPr="00716EDB" w14:paraId="063634B2" w14:textId="77777777" w:rsidTr="007D31B0">
        <w:tc>
          <w:tcPr>
            <w:tcW w:w="6084" w:type="dxa"/>
          </w:tcPr>
          <w:p w14:paraId="080A920F" w14:textId="6A198077" w:rsidR="00F0776B" w:rsidRDefault="00F0776B" w:rsidP="000F057D">
            <w:pPr>
              <w:pStyle w:val="Tabletext"/>
              <w:ind w:left="142"/>
              <w:rPr>
                <w:lang w:val="en-US" w:eastAsia="nl-NL"/>
              </w:rPr>
            </w:pPr>
            <w:r>
              <w:rPr>
                <w:lang w:val="en-US" w:eastAsia="nl-NL"/>
              </w:rPr>
              <w:t xml:space="preserve">Impairment of </w:t>
            </w:r>
            <w:r w:rsidRPr="00D73661">
              <w:rPr>
                <w:lang w:val="en-US" w:eastAsia="nl-NL"/>
              </w:rPr>
              <w:t>property, plant and equipment</w:t>
            </w:r>
          </w:p>
        </w:tc>
        <w:tc>
          <w:tcPr>
            <w:tcW w:w="749" w:type="dxa"/>
            <w:gridSpan w:val="2"/>
            <w:vAlign w:val="bottom"/>
          </w:tcPr>
          <w:p w14:paraId="18920ED6" w14:textId="42439E97" w:rsidR="00F0776B" w:rsidRPr="00D73661" w:rsidRDefault="002649F3" w:rsidP="00D73661">
            <w:pPr>
              <w:pStyle w:val="Tabletext"/>
              <w:jc w:val="right"/>
              <w:rPr>
                <w:iCs/>
              </w:rPr>
            </w:pPr>
            <w:r>
              <w:rPr>
                <w:iCs/>
              </w:rPr>
              <w:t>5</w:t>
            </w:r>
          </w:p>
        </w:tc>
        <w:tc>
          <w:tcPr>
            <w:tcW w:w="1129" w:type="dxa"/>
            <w:shd w:val="clear" w:color="auto" w:fill="EFF4F5"/>
            <w:vAlign w:val="bottom"/>
          </w:tcPr>
          <w:p w14:paraId="364FE2DD" w14:textId="3F448232" w:rsidR="00F0776B" w:rsidRPr="001B45E4" w:rsidRDefault="002649F3" w:rsidP="00D73661">
            <w:pPr>
              <w:pStyle w:val="Tabletext"/>
              <w:jc w:val="right"/>
              <w:rPr>
                <w:b/>
              </w:rPr>
            </w:pPr>
            <w:r>
              <w:rPr>
                <w:b/>
              </w:rPr>
              <w:t>11.2</w:t>
            </w:r>
          </w:p>
        </w:tc>
        <w:tc>
          <w:tcPr>
            <w:tcW w:w="1110" w:type="dxa"/>
            <w:gridSpan w:val="2"/>
            <w:vAlign w:val="bottom"/>
          </w:tcPr>
          <w:p w14:paraId="31BEF7D3" w14:textId="74A37ECD" w:rsidR="00F0776B" w:rsidRPr="00D73661" w:rsidRDefault="002649F3" w:rsidP="00D73661">
            <w:pPr>
              <w:pStyle w:val="Tabletext"/>
              <w:jc w:val="right"/>
            </w:pPr>
            <w:r w:rsidRPr="00D73661">
              <w:t>–</w:t>
            </w:r>
          </w:p>
        </w:tc>
      </w:tr>
      <w:tr w:rsidR="006326C2" w:rsidRPr="00716EDB" w14:paraId="4620929A" w14:textId="77777777" w:rsidTr="007D31B0">
        <w:tc>
          <w:tcPr>
            <w:tcW w:w="6084" w:type="dxa"/>
          </w:tcPr>
          <w:p w14:paraId="6690FE6A" w14:textId="75B8A42E" w:rsidR="006326C2" w:rsidRPr="00D73661" w:rsidRDefault="000F057D" w:rsidP="000F057D">
            <w:pPr>
              <w:pStyle w:val="Tabletext"/>
              <w:ind w:left="142"/>
              <w:rPr>
                <w:lang w:eastAsia="nl-NL"/>
              </w:rPr>
            </w:pPr>
            <w:r>
              <w:rPr>
                <w:lang w:val="en-US" w:eastAsia="nl-NL"/>
              </w:rPr>
              <w:t>G</w:t>
            </w:r>
            <w:r w:rsidR="006326C2" w:rsidRPr="00D73661">
              <w:rPr>
                <w:lang w:val="en-US" w:eastAsia="nl-NL"/>
              </w:rPr>
              <w:t>oodwill impairment</w:t>
            </w:r>
          </w:p>
        </w:tc>
        <w:tc>
          <w:tcPr>
            <w:tcW w:w="749" w:type="dxa"/>
            <w:gridSpan w:val="2"/>
            <w:vAlign w:val="bottom"/>
          </w:tcPr>
          <w:p w14:paraId="637D0977" w14:textId="77777777" w:rsidR="006326C2" w:rsidRPr="00D73661" w:rsidRDefault="006326C2" w:rsidP="00D73661">
            <w:pPr>
              <w:pStyle w:val="Tabletext"/>
              <w:jc w:val="right"/>
            </w:pPr>
            <w:r w:rsidRPr="00D73661">
              <w:rPr>
                <w:iCs/>
              </w:rPr>
              <w:t>13</w:t>
            </w:r>
          </w:p>
        </w:tc>
        <w:tc>
          <w:tcPr>
            <w:tcW w:w="1129" w:type="dxa"/>
            <w:shd w:val="clear" w:color="auto" w:fill="EFF4F5"/>
            <w:vAlign w:val="bottom"/>
          </w:tcPr>
          <w:p w14:paraId="4EE0F5B8" w14:textId="3727EC4F" w:rsidR="006326C2" w:rsidRPr="002649F3" w:rsidRDefault="002649F3" w:rsidP="00D73661">
            <w:pPr>
              <w:pStyle w:val="Tabletext"/>
              <w:jc w:val="right"/>
              <w:rPr>
                <w:b/>
              </w:rPr>
            </w:pPr>
            <w:r w:rsidRPr="002649F3">
              <w:rPr>
                <w:b/>
              </w:rPr>
              <w:t>–</w:t>
            </w:r>
          </w:p>
        </w:tc>
        <w:tc>
          <w:tcPr>
            <w:tcW w:w="1110" w:type="dxa"/>
            <w:gridSpan w:val="2"/>
            <w:vAlign w:val="bottom"/>
          </w:tcPr>
          <w:p w14:paraId="273F655E" w14:textId="5B3DE43E" w:rsidR="006326C2" w:rsidRPr="00D73661" w:rsidRDefault="006326C2" w:rsidP="00D73661">
            <w:pPr>
              <w:pStyle w:val="Tabletext"/>
              <w:jc w:val="right"/>
            </w:pPr>
            <w:r w:rsidRPr="00D73661">
              <w:t>1.0</w:t>
            </w:r>
          </w:p>
        </w:tc>
      </w:tr>
      <w:tr w:rsidR="006326C2" w:rsidRPr="00716EDB" w14:paraId="1C0E9D31" w14:textId="77777777" w:rsidTr="007D31B0">
        <w:tc>
          <w:tcPr>
            <w:tcW w:w="6084" w:type="dxa"/>
          </w:tcPr>
          <w:p w14:paraId="6AA4F469" w14:textId="34557452" w:rsidR="006326C2" w:rsidRPr="00D73661" w:rsidRDefault="000F057D" w:rsidP="000F057D">
            <w:pPr>
              <w:pStyle w:val="Tabletext"/>
              <w:ind w:left="142"/>
              <w:rPr>
                <w:lang w:eastAsia="nl-NL"/>
              </w:rPr>
            </w:pPr>
            <w:r>
              <w:rPr>
                <w:lang w:val="en-US" w:eastAsia="nl-NL"/>
              </w:rPr>
              <w:t>S</w:t>
            </w:r>
            <w:r w:rsidR="006326C2" w:rsidRPr="00D73661">
              <w:rPr>
                <w:lang w:val="en-US" w:eastAsia="nl-NL"/>
              </w:rPr>
              <w:t>hare–based payments</w:t>
            </w:r>
          </w:p>
        </w:tc>
        <w:tc>
          <w:tcPr>
            <w:tcW w:w="749" w:type="dxa"/>
            <w:gridSpan w:val="2"/>
            <w:vAlign w:val="bottom"/>
          </w:tcPr>
          <w:p w14:paraId="55415183" w14:textId="69B9DF92" w:rsidR="006326C2" w:rsidRPr="00D73661" w:rsidRDefault="007B23F9" w:rsidP="007B23F9">
            <w:pPr>
              <w:pStyle w:val="Tabletext"/>
              <w:jc w:val="right"/>
            </w:pPr>
            <w:r>
              <w:t>20</w:t>
            </w:r>
          </w:p>
        </w:tc>
        <w:tc>
          <w:tcPr>
            <w:tcW w:w="1129" w:type="dxa"/>
            <w:shd w:val="clear" w:color="auto" w:fill="EFF4F5"/>
            <w:vAlign w:val="bottom"/>
          </w:tcPr>
          <w:p w14:paraId="45E0E19C" w14:textId="11A16A4B" w:rsidR="006326C2" w:rsidRPr="001B45E4" w:rsidRDefault="002649F3" w:rsidP="00D73661">
            <w:pPr>
              <w:pStyle w:val="Tabletext"/>
              <w:jc w:val="right"/>
              <w:rPr>
                <w:b/>
              </w:rPr>
            </w:pPr>
            <w:r>
              <w:rPr>
                <w:b/>
              </w:rPr>
              <w:t>0.7</w:t>
            </w:r>
          </w:p>
        </w:tc>
        <w:tc>
          <w:tcPr>
            <w:tcW w:w="1110" w:type="dxa"/>
            <w:gridSpan w:val="2"/>
            <w:vAlign w:val="bottom"/>
          </w:tcPr>
          <w:p w14:paraId="5F3C0166" w14:textId="2E4703FE" w:rsidR="006326C2" w:rsidRPr="00D73661" w:rsidRDefault="006326C2" w:rsidP="00D73661">
            <w:pPr>
              <w:pStyle w:val="Tabletext"/>
              <w:jc w:val="right"/>
            </w:pPr>
            <w:r w:rsidRPr="00D73661">
              <w:t>2.8</w:t>
            </w:r>
          </w:p>
        </w:tc>
      </w:tr>
      <w:tr w:rsidR="006326C2" w:rsidRPr="00716EDB" w14:paraId="238AB86E" w14:textId="77777777" w:rsidTr="007D31B0">
        <w:tc>
          <w:tcPr>
            <w:tcW w:w="6084" w:type="dxa"/>
          </w:tcPr>
          <w:p w14:paraId="77B1334B" w14:textId="6CC26A0D" w:rsidR="006326C2" w:rsidRPr="00D73661" w:rsidRDefault="002649F3" w:rsidP="002649F3">
            <w:pPr>
              <w:pStyle w:val="Tabletext"/>
              <w:ind w:left="142"/>
              <w:rPr>
                <w:lang w:eastAsia="nl-NL"/>
              </w:rPr>
            </w:pPr>
            <w:r>
              <w:rPr>
                <w:lang w:val="en-US" w:eastAsia="nl-NL"/>
              </w:rPr>
              <w:t>Loss / (p</w:t>
            </w:r>
            <w:r w:rsidR="006326C2" w:rsidRPr="00D73661">
              <w:rPr>
                <w:lang w:val="en-US" w:eastAsia="nl-NL"/>
              </w:rPr>
              <w:t>rofit</w:t>
            </w:r>
            <w:r>
              <w:rPr>
                <w:lang w:val="en-US" w:eastAsia="nl-NL"/>
              </w:rPr>
              <w:t>)</w:t>
            </w:r>
            <w:r w:rsidR="006326C2" w:rsidRPr="00D73661">
              <w:rPr>
                <w:lang w:val="en-US" w:eastAsia="nl-NL"/>
              </w:rPr>
              <w:t xml:space="preserve"> on disposal of property, plant and equipment</w:t>
            </w:r>
          </w:p>
        </w:tc>
        <w:tc>
          <w:tcPr>
            <w:tcW w:w="749" w:type="dxa"/>
            <w:gridSpan w:val="2"/>
            <w:vAlign w:val="bottom"/>
          </w:tcPr>
          <w:p w14:paraId="6409C3EC" w14:textId="77777777" w:rsidR="006326C2" w:rsidRPr="00D73661" w:rsidRDefault="006326C2" w:rsidP="00D73661">
            <w:pPr>
              <w:pStyle w:val="Tabletext"/>
              <w:jc w:val="right"/>
            </w:pPr>
            <w:r w:rsidRPr="00D73661">
              <w:rPr>
                <w:iCs/>
              </w:rPr>
              <w:t>8</w:t>
            </w:r>
          </w:p>
        </w:tc>
        <w:tc>
          <w:tcPr>
            <w:tcW w:w="1129" w:type="dxa"/>
            <w:shd w:val="clear" w:color="auto" w:fill="EFF4F5"/>
            <w:vAlign w:val="bottom"/>
          </w:tcPr>
          <w:p w14:paraId="65AE225A" w14:textId="05EB1606" w:rsidR="006326C2" w:rsidRPr="001B45E4" w:rsidRDefault="002649F3" w:rsidP="00D73661">
            <w:pPr>
              <w:pStyle w:val="Tabletext"/>
              <w:jc w:val="right"/>
              <w:rPr>
                <w:b/>
              </w:rPr>
            </w:pPr>
            <w:r>
              <w:rPr>
                <w:b/>
              </w:rPr>
              <w:t>0.8</w:t>
            </w:r>
          </w:p>
        </w:tc>
        <w:tc>
          <w:tcPr>
            <w:tcW w:w="1110" w:type="dxa"/>
            <w:gridSpan w:val="2"/>
            <w:vAlign w:val="bottom"/>
          </w:tcPr>
          <w:p w14:paraId="6468CCEE" w14:textId="066ABF14" w:rsidR="006326C2" w:rsidRPr="00D73661" w:rsidRDefault="006326C2" w:rsidP="00D73661">
            <w:pPr>
              <w:pStyle w:val="Tabletext"/>
              <w:jc w:val="right"/>
            </w:pPr>
            <w:r w:rsidRPr="00D73661">
              <w:t>(18.5)</w:t>
            </w:r>
          </w:p>
        </w:tc>
      </w:tr>
      <w:tr w:rsidR="006326C2" w:rsidRPr="00716EDB" w14:paraId="2461102A" w14:textId="77777777" w:rsidTr="007D31B0">
        <w:tc>
          <w:tcPr>
            <w:tcW w:w="6084" w:type="dxa"/>
          </w:tcPr>
          <w:p w14:paraId="1BD21201" w14:textId="42CC7DF7" w:rsidR="006326C2" w:rsidRPr="00D73661" w:rsidRDefault="000F057D" w:rsidP="000F057D">
            <w:pPr>
              <w:pStyle w:val="Tabletext"/>
              <w:ind w:left="142"/>
              <w:rPr>
                <w:lang w:eastAsia="nl-NL"/>
              </w:rPr>
            </w:pPr>
            <w:r>
              <w:rPr>
                <w:lang w:val="en-US" w:eastAsia="nl-NL"/>
              </w:rPr>
              <w:t>I</w:t>
            </w:r>
            <w:r w:rsidR="006326C2" w:rsidRPr="00D73661">
              <w:rPr>
                <w:lang w:val="en-US" w:eastAsia="nl-NL"/>
              </w:rPr>
              <w:t>nterest income</w:t>
            </w:r>
          </w:p>
        </w:tc>
        <w:tc>
          <w:tcPr>
            <w:tcW w:w="749" w:type="dxa"/>
            <w:gridSpan w:val="2"/>
            <w:vAlign w:val="bottom"/>
          </w:tcPr>
          <w:p w14:paraId="6509731F" w14:textId="77777777" w:rsidR="006326C2" w:rsidRPr="00D73661" w:rsidRDefault="006326C2" w:rsidP="00D73661">
            <w:pPr>
              <w:pStyle w:val="Tabletext"/>
              <w:jc w:val="right"/>
            </w:pPr>
          </w:p>
        </w:tc>
        <w:tc>
          <w:tcPr>
            <w:tcW w:w="1129" w:type="dxa"/>
            <w:shd w:val="clear" w:color="auto" w:fill="EFF4F5"/>
            <w:vAlign w:val="bottom"/>
          </w:tcPr>
          <w:p w14:paraId="36926665" w14:textId="29634601" w:rsidR="006326C2" w:rsidRPr="001B45E4" w:rsidRDefault="002649F3" w:rsidP="00D73661">
            <w:pPr>
              <w:pStyle w:val="Tabletext"/>
              <w:jc w:val="right"/>
              <w:rPr>
                <w:b/>
              </w:rPr>
            </w:pPr>
            <w:r>
              <w:rPr>
                <w:b/>
              </w:rPr>
              <w:t>(0.3)</w:t>
            </w:r>
          </w:p>
        </w:tc>
        <w:tc>
          <w:tcPr>
            <w:tcW w:w="1110" w:type="dxa"/>
            <w:gridSpan w:val="2"/>
            <w:vAlign w:val="bottom"/>
          </w:tcPr>
          <w:p w14:paraId="296F0D61" w14:textId="20665151" w:rsidR="006326C2" w:rsidRPr="00D73661" w:rsidRDefault="006326C2" w:rsidP="00D73661">
            <w:pPr>
              <w:pStyle w:val="Tabletext"/>
              <w:jc w:val="right"/>
            </w:pPr>
            <w:r w:rsidRPr="00D73661">
              <w:t>(0.3)</w:t>
            </w:r>
          </w:p>
        </w:tc>
      </w:tr>
      <w:tr w:rsidR="006326C2" w:rsidRPr="00716EDB" w14:paraId="5895861F" w14:textId="77777777" w:rsidTr="007D31B0">
        <w:tc>
          <w:tcPr>
            <w:tcW w:w="6084" w:type="dxa"/>
            <w:tcBorders>
              <w:bottom w:val="single" w:sz="4" w:space="0" w:color="93B7BB"/>
            </w:tcBorders>
          </w:tcPr>
          <w:p w14:paraId="22E8F767" w14:textId="7094CABC" w:rsidR="006326C2" w:rsidRPr="00D73661" w:rsidRDefault="00D34076" w:rsidP="00500A32">
            <w:pPr>
              <w:pStyle w:val="Tabletextindented"/>
            </w:pPr>
            <w:r>
              <w:t>F</w:t>
            </w:r>
            <w:r w:rsidR="006326C2" w:rsidRPr="00D73661">
              <w:t>inance costs</w:t>
            </w:r>
          </w:p>
        </w:tc>
        <w:tc>
          <w:tcPr>
            <w:tcW w:w="749" w:type="dxa"/>
            <w:gridSpan w:val="2"/>
            <w:tcBorders>
              <w:bottom w:val="single" w:sz="4" w:space="0" w:color="93B7BB"/>
            </w:tcBorders>
            <w:vAlign w:val="bottom"/>
          </w:tcPr>
          <w:p w14:paraId="5E67FA5D" w14:textId="77777777" w:rsidR="006326C2" w:rsidRPr="00D73661" w:rsidRDefault="006326C2" w:rsidP="00D73661">
            <w:pPr>
              <w:pStyle w:val="Tabletext"/>
              <w:jc w:val="right"/>
            </w:pPr>
            <w:r w:rsidRPr="00D73661">
              <w:rPr>
                <w:iCs/>
              </w:rPr>
              <w:t>9</w:t>
            </w:r>
          </w:p>
        </w:tc>
        <w:tc>
          <w:tcPr>
            <w:tcW w:w="1129" w:type="dxa"/>
            <w:tcBorders>
              <w:bottom w:val="single" w:sz="4" w:space="0" w:color="93B7BB"/>
            </w:tcBorders>
            <w:shd w:val="clear" w:color="auto" w:fill="EFF4F5"/>
            <w:vAlign w:val="bottom"/>
          </w:tcPr>
          <w:p w14:paraId="55FCBAB8" w14:textId="6081522D" w:rsidR="006326C2" w:rsidRPr="001B45E4" w:rsidRDefault="002649F3" w:rsidP="00D73661">
            <w:pPr>
              <w:pStyle w:val="Tabletext"/>
              <w:jc w:val="right"/>
              <w:rPr>
                <w:b/>
              </w:rPr>
            </w:pPr>
            <w:r>
              <w:rPr>
                <w:b/>
              </w:rPr>
              <w:t>21.4</w:t>
            </w:r>
          </w:p>
        </w:tc>
        <w:tc>
          <w:tcPr>
            <w:tcW w:w="1110" w:type="dxa"/>
            <w:gridSpan w:val="2"/>
            <w:tcBorders>
              <w:bottom w:val="single" w:sz="4" w:space="0" w:color="93B7BB"/>
            </w:tcBorders>
            <w:vAlign w:val="bottom"/>
          </w:tcPr>
          <w:p w14:paraId="5B940520" w14:textId="49A7DA45" w:rsidR="006326C2" w:rsidRPr="00D73661" w:rsidRDefault="00D34076" w:rsidP="00D34076">
            <w:pPr>
              <w:pStyle w:val="Tabletext"/>
              <w:jc w:val="right"/>
            </w:pPr>
            <w:r w:rsidRPr="00D73661">
              <w:t>85.9</w:t>
            </w:r>
          </w:p>
        </w:tc>
      </w:tr>
      <w:tr w:rsidR="006326C2" w:rsidRPr="00716EDB" w14:paraId="56A85845" w14:textId="77777777" w:rsidTr="007D31B0">
        <w:tc>
          <w:tcPr>
            <w:tcW w:w="6084" w:type="dxa"/>
            <w:tcBorders>
              <w:top w:val="single" w:sz="4" w:space="0" w:color="93B7BB"/>
            </w:tcBorders>
          </w:tcPr>
          <w:p w14:paraId="7B4749DF" w14:textId="77777777" w:rsidR="006326C2" w:rsidRPr="00D73661" w:rsidRDefault="006326C2" w:rsidP="00D73661">
            <w:pPr>
              <w:pStyle w:val="Tabletext"/>
              <w:ind w:left="142"/>
              <w:rPr>
                <w:lang w:val="en-US" w:eastAsia="nl-NL"/>
              </w:rPr>
            </w:pPr>
          </w:p>
        </w:tc>
        <w:tc>
          <w:tcPr>
            <w:tcW w:w="749" w:type="dxa"/>
            <w:gridSpan w:val="2"/>
            <w:tcBorders>
              <w:top w:val="single" w:sz="4" w:space="0" w:color="93B7BB"/>
            </w:tcBorders>
            <w:vAlign w:val="bottom"/>
          </w:tcPr>
          <w:p w14:paraId="78E9DE74" w14:textId="77777777" w:rsidR="006326C2" w:rsidRPr="00D73661" w:rsidRDefault="006326C2" w:rsidP="00D73661">
            <w:pPr>
              <w:pStyle w:val="Tabletext"/>
              <w:jc w:val="right"/>
            </w:pPr>
          </w:p>
        </w:tc>
        <w:tc>
          <w:tcPr>
            <w:tcW w:w="1129" w:type="dxa"/>
            <w:tcBorders>
              <w:top w:val="single" w:sz="4" w:space="0" w:color="93B7BB"/>
            </w:tcBorders>
            <w:shd w:val="clear" w:color="auto" w:fill="EFF4F5"/>
            <w:vAlign w:val="bottom"/>
          </w:tcPr>
          <w:p w14:paraId="3F07FE74" w14:textId="5C3A82EE" w:rsidR="006326C2" w:rsidRPr="001B45E4" w:rsidRDefault="002649F3" w:rsidP="00D73661">
            <w:pPr>
              <w:pStyle w:val="Tabletext"/>
              <w:jc w:val="right"/>
              <w:rPr>
                <w:b/>
              </w:rPr>
            </w:pPr>
            <w:r>
              <w:rPr>
                <w:b/>
              </w:rPr>
              <w:t>156.3</w:t>
            </w:r>
          </w:p>
        </w:tc>
        <w:tc>
          <w:tcPr>
            <w:tcW w:w="1110" w:type="dxa"/>
            <w:gridSpan w:val="2"/>
            <w:tcBorders>
              <w:top w:val="single" w:sz="4" w:space="0" w:color="93B7BB"/>
            </w:tcBorders>
            <w:vAlign w:val="bottom"/>
          </w:tcPr>
          <w:p w14:paraId="30B97ACA" w14:textId="09302420" w:rsidR="006326C2" w:rsidRPr="00D73661" w:rsidRDefault="006326C2" w:rsidP="00D73661">
            <w:pPr>
              <w:pStyle w:val="Tabletext"/>
              <w:jc w:val="right"/>
            </w:pPr>
            <w:r w:rsidRPr="00D73661">
              <w:t>109.0</w:t>
            </w:r>
          </w:p>
        </w:tc>
      </w:tr>
      <w:tr w:rsidR="006326C2" w:rsidRPr="00716EDB" w14:paraId="0B2B9AEF" w14:textId="77777777" w:rsidTr="007D31B0">
        <w:tc>
          <w:tcPr>
            <w:tcW w:w="6084" w:type="dxa"/>
          </w:tcPr>
          <w:p w14:paraId="134F3473" w14:textId="77777777" w:rsidR="006326C2" w:rsidRPr="00D73661" w:rsidRDefault="006326C2" w:rsidP="00D73661">
            <w:pPr>
              <w:pStyle w:val="Tabletext"/>
              <w:rPr>
                <w:lang w:eastAsia="nl-NL"/>
              </w:rPr>
            </w:pPr>
            <w:r w:rsidRPr="00D73661">
              <w:rPr>
                <w:lang w:val="en-US" w:eastAsia="nl-NL"/>
              </w:rPr>
              <w:t>Movements in working capital:</w:t>
            </w:r>
          </w:p>
        </w:tc>
        <w:tc>
          <w:tcPr>
            <w:tcW w:w="749" w:type="dxa"/>
            <w:gridSpan w:val="2"/>
            <w:vAlign w:val="bottom"/>
          </w:tcPr>
          <w:p w14:paraId="609BCA09" w14:textId="77777777" w:rsidR="006326C2" w:rsidRPr="00D73661" w:rsidRDefault="006326C2" w:rsidP="00D73661">
            <w:pPr>
              <w:pStyle w:val="Tabletext"/>
              <w:jc w:val="right"/>
            </w:pPr>
          </w:p>
        </w:tc>
        <w:tc>
          <w:tcPr>
            <w:tcW w:w="1129" w:type="dxa"/>
            <w:shd w:val="clear" w:color="auto" w:fill="EFF4F5"/>
            <w:vAlign w:val="bottom"/>
          </w:tcPr>
          <w:p w14:paraId="53A2A631" w14:textId="77777777" w:rsidR="006326C2" w:rsidRPr="001B45E4" w:rsidRDefault="006326C2" w:rsidP="00D73661">
            <w:pPr>
              <w:pStyle w:val="Tabletext"/>
              <w:jc w:val="right"/>
              <w:rPr>
                <w:b/>
              </w:rPr>
            </w:pPr>
          </w:p>
        </w:tc>
        <w:tc>
          <w:tcPr>
            <w:tcW w:w="1110" w:type="dxa"/>
            <w:gridSpan w:val="2"/>
            <w:vAlign w:val="bottom"/>
          </w:tcPr>
          <w:p w14:paraId="21CE875C" w14:textId="77777777" w:rsidR="006326C2" w:rsidRPr="00D73661" w:rsidRDefault="006326C2" w:rsidP="00D73661">
            <w:pPr>
              <w:pStyle w:val="Tabletext"/>
              <w:jc w:val="right"/>
            </w:pPr>
          </w:p>
        </w:tc>
      </w:tr>
      <w:tr w:rsidR="006326C2" w:rsidRPr="00716EDB" w14:paraId="46400F2C" w14:textId="77777777" w:rsidTr="007D31B0">
        <w:tc>
          <w:tcPr>
            <w:tcW w:w="6084" w:type="dxa"/>
          </w:tcPr>
          <w:p w14:paraId="22E37361" w14:textId="22B4518F" w:rsidR="006326C2" w:rsidRPr="00D73661" w:rsidRDefault="002649F3" w:rsidP="002649F3">
            <w:pPr>
              <w:pStyle w:val="Tabletextindented"/>
            </w:pPr>
            <w:r>
              <w:t>Decrease/(i</w:t>
            </w:r>
            <w:r w:rsidR="006326C2" w:rsidRPr="00D73661">
              <w:t>ncrease</w:t>
            </w:r>
            <w:r>
              <w:t>)</w:t>
            </w:r>
            <w:r w:rsidR="006326C2" w:rsidRPr="00D73661">
              <w:t xml:space="preserve"> in trade and other receivables </w:t>
            </w:r>
          </w:p>
        </w:tc>
        <w:tc>
          <w:tcPr>
            <w:tcW w:w="749" w:type="dxa"/>
            <w:gridSpan w:val="2"/>
            <w:vAlign w:val="bottom"/>
          </w:tcPr>
          <w:p w14:paraId="0ACE1EB1" w14:textId="77777777" w:rsidR="006326C2" w:rsidRPr="00D73661" w:rsidRDefault="006326C2" w:rsidP="00D73661">
            <w:pPr>
              <w:pStyle w:val="Tabletext"/>
              <w:jc w:val="right"/>
            </w:pPr>
          </w:p>
        </w:tc>
        <w:tc>
          <w:tcPr>
            <w:tcW w:w="1129" w:type="dxa"/>
            <w:shd w:val="clear" w:color="auto" w:fill="EFF4F5"/>
            <w:vAlign w:val="bottom"/>
          </w:tcPr>
          <w:p w14:paraId="207C2699" w14:textId="4BBDC498" w:rsidR="006326C2" w:rsidRPr="001B45E4" w:rsidRDefault="002649F3" w:rsidP="00D73661">
            <w:pPr>
              <w:pStyle w:val="Tabletext"/>
              <w:jc w:val="right"/>
              <w:rPr>
                <w:b/>
              </w:rPr>
            </w:pPr>
            <w:r>
              <w:rPr>
                <w:b/>
              </w:rPr>
              <w:t>11.7</w:t>
            </w:r>
          </w:p>
        </w:tc>
        <w:tc>
          <w:tcPr>
            <w:tcW w:w="1110" w:type="dxa"/>
            <w:gridSpan w:val="2"/>
            <w:vAlign w:val="bottom"/>
          </w:tcPr>
          <w:p w14:paraId="55E17B32" w14:textId="26AEBDBB" w:rsidR="006326C2" w:rsidRPr="00D73661" w:rsidRDefault="006326C2" w:rsidP="00D73661">
            <w:pPr>
              <w:pStyle w:val="Tabletext"/>
              <w:jc w:val="right"/>
            </w:pPr>
            <w:r w:rsidRPr="00D73661">
              <w:t>(</w:t>
            </w:r>
            <w:r>
              <w:t>9</w:t>
            </w:r>
            <w:r w:rsidRPr="00D73661">
              <w:t>.</w:t>
            </w:r>
            <w:r>
              <w:t>3</w:t>
            </w:r>
            <w:r w:rsidRPr="00D73661">
              <w:t>)</w:t>
            </w:r>
          </w:p>
        </w:tc>
      </w:tr>
      <w:tr w:rsidR="006326C2" w:rsidRPr="00716EDB" w14:paraId="430289AE" w14:textId="77777777" w:rsidTr="007D31B0">
        <w:tc>
          <w:tcPr>
            <w:tcW w:w="6084" w:type="dxa"/>
          </w:tcPr>
          <w:p w14:paraId="2292D4F1" w14:textId="184F3730" w:rsidR="006326C2" w:rsidRPr="00D73661" w:rsidRDefault="002649F3" w:rsidP="002649F3">
            <w:pPr>
              <w:pStyle w:val="Tabletextindented"/>
            </w:pPr>
            <w:r w:rsidRPr="00D73661">
              <w:t>(</w:t>
            </w:r>
            <w:r>
              <w:t>I</w:t>
            </w:r>
            <w:r w:rsidRPr="00D73661">
              <w:t>ncrease)</w:t>
            </w:r>
            <w:r>
              <w:t>/d</w:t>
            </w:r>
            <w:r w:rsidR="006326C2" w:rsidRPr="00D73661">
              <w:t>ecrease in inventories</w:t>
            </w:r>
          </w:p>
        </w:tc>
        <w:tc>
          <w:tcPr>
            <w:tcW w:w="749" w:type="dxa"/>
            <w:gridSpan w:val="2"/>
            <w:vAlign w:val="bottom"/>
          </w:tcPr>
          <w:p w14:paraId="75FFDFBD" w14:textId="77777777" w:rsidR="006326C2" w:rsidRPr="00D73661" w:rsidRDefault="006326C2" w:rsidP="00D73661">
            <w:pPr>
              <w:pStyle w:val="Tabletext"/>
              <w:jc w:val="right"/>
            </w:pPr>
          </w:p>
        </w:tc>
        <w:tc>
          <w:tcPr>
            <w:tcW w:w="1129" w:type="dxa"/>
            <w:shd w:val="clear" w:color="auto" w:fill="EFF4F5"/>
            <w:vAlign w:val="bottom"/>
          </w:tcPr>
          <w:p w14:paraId="74374CB8" w14:textId="58C93ABD" w:rsidR="006326C2" w:rsidRPr="001B45E4" w:rsidRDefault="002649F3" w:rsidP="00D73661">
            <w:pPr>
              <w:pStyle w:val="Tabletext"/>
              <w:jc w:val="right"/>
              <w:rPr>
                <w:b/>
              </w:rPr>
            </w:pPr>
            <w:r>
              <w:rPr>
                <w:b/>
              </w:rPr>
              <w:t>(3.0)</w:t>
            </w:r>
          </w:p>
        </w:tc>
        <w:tc>
          <w:tcPr>
            <w:tcW w:w="1110" w:type="dxa"/>
            <w:gridSpan w:val="2"/>
            <w:vAlign w:val="bottom"/>
          </w:tcPr>
          <w:p w14:paraId="088720D0" w14:textId="6BED5BB7" w:rsidR="006326C2" w:rsidRPr="00D73661" w:rsidRDefault="006326C2" w:rsidP="00D73661">
            <w:pPr>
              <w:pStyle w:val="Tabletext"/>
              <w:jc w:val="right"/>
            </w:pPr>
            <w:r w:rsidRPr="00D73661">
              <w:t>1.5</w:t>
            </w:r>
          </w:p>
        </w:tc>
      </w:tr>
      <w:tr w:rsidR="006326C2" w:rsidRPr="00716EDB" w14:paraId="4781C5B8" w14:textId="77777777" w:rsidTr="002649F3">
        <w:tc>
          <w:tcPr>
            <w:tcW w:w="6084" w:type="dxa"/>
          </w:tcPr>
          <w:p w14:paraId="5368A1F1" w14:textId="061B76C9" w:rsidR="006326C2" w:rsidRPr="00D73661" w:rsidRDefault="002649F3" w:rsidP="002649F3">
            <w:pPr>
              <w:pStyle w:val="Tabletextindented"/>
            </w:pPr>
            <w:r>
              <w:t>(Decrease)/i</w:t>
            </w:r>
            <w:r w:rsidRPr="00D73661">
              <w:t xml:space="preserve">ncrease </w:t>
            </w:r>
            <w:r w:rsidR="006326C2" w:rsidRPr="00D73661">
              <w:t>in trade and other payables</w:t>
            </w:r>
          </w:p>
        </w:tc>
        <w:tc>
          <w:tcPr>
            <w:tcW w:w="749" w:type="dxa"/>
            <w:gridSpan w:val="2"/>
            <w:vAlign w:val="bottom"/>
          </w:tcPr>
          <w:p w14:paraId="70196A32" w14:textId="77777777" w:rsidR="006326C2" w:rsidRPr="00D73661" w:rsidRDefault="006326C2" w:rsidP="00D73661">
            <w:pPr>
              <w:pStyle w:val="Tabletext"/>
              <w:jc w:val="right"/>
            </w:pPr>
          </w:p>
        </w:tc>
        <w:tc>
          <w:tcPr>
            <w:tcW w:w="1129" w:type="dxa"/>
            <w:shd w:val="clear" w:color="auto" w:fill="EFF4F5"/>
            <w:vAlign w:val="bottom"/>
          </w:tcPr>
          <w:p w14:paraId="1A0C0397" w14:textId="59A1C306" w:rsidR="006326C2" w:rsidRPr="001B45E4" w:rsidRDefault="002649F3" w:rsidP="00D73661">
            <w:pPr>
              <w:pStyle w:val="Tabletext"/>
              <w:jc w:val="right"/>
              <w:rPr>
                <w:b/>
              </w:rPr>
            </w:pPr>
            <w:r>
              <w:rPr>
                <w:b/>
              </w:rPr>
              <w:t>(4.4)</w:t>
            </w:r>
          </w:p>
        </w:tc>
        <w:tc>
          <w:tcPr>
            <w:tcW w:w="1110" w:type="dxa"/>
            <w:gridSpan w:val="2"/>
            <w:vAlign w:val="bottom"/>
          </w:tcPr>
          <w:p w14:paraId="59F28268" w14:textId="53B804F1" w:rsidR="006326C2" w:rsidRPr="00D73661" w:rsidRDefault="006326C2" w:rsidP="00D73661">
            <w:pPr>
              <w:pStyle w:val="Tabletext"/>
              <w:jc w:val="right"/>
            </w:pPr>
            <w:r>
              <w:t>9</w:t>
            </w:r>
            <w:r w:rsidRPr="00D73661">
              <w:t>.</w:t>
            </w:r>
            <w:r>
              <w:t>5</w:t>
            </w:r>
          </w:p>
        </w:tc>
      </w:tr>
      <w:tr w:rsidR="002649F3" w:rsidRPr="00716EDB" w14:paraId="30DC1D9A" w14:textId="77777777" w:rsidTr="002649F3">
        <w:tc>
          <w:tcPr>
            <w:tcW w:w="6084" w:type="dxa"/>
          </w:tcPr>
          <w:p w14:paraId="4A520EF6" w14:textId="407E4D0D" w:rsidR="002649F3" w:rsidRDefault="002649F3" w:rsidP="000F057D">
            <w:pPr>
              <w:pStyle w:val="Tabletextindented"/>
            </w:pPr>
            <w:r>
              <w:t>Increase</w:t>
            </w:r>
            <w:r w:rsidRPr="00D73661">
              <w:t xml:space="preserve"> in provisions</w:t>
            </w:r>
          </w:p>
        </w:tc>
        <w:tc>
          <w:tcPr>
            <w:tcW w:w="749" w:type="dxa"/>
            <w:gridSpan w:val="2"/>
            <w:vAlign w:val="bottom"/>
          </w:tcPr>
          <w:p w14:paraId="4914E1E3" w14:textId="77777777" w:rsidR="002649F3" w:rsidRPr="00D73661" w:rsidRDefault="002649F3" w:rsidP="00D73661">
            <w:pPr>
              <w:pStyle w:val="Tabletext"/>
              <w:jc w:val="right"/>
            </w:pPr>
          </w:p>
        </w:tc>
        <w:tc>
          <w:tcPr>
            <w:tcW w:w="1129" w:type="dxa"/>
            <w:shd w:val="clear" w:color="auto" w:fill="EFF4F5"/>
            <w:vAlign w:val="bottom"/>
          </w:tcPr>
          <w:p w14:paraId="412A983B" w14:textId="2B01FAA7" w:rsidR="002649F3" w:rsidRDefault="002649F3" w:rsidP="00D73661">
            <w:pPr>
              <w:pStyle w:val="Tabletext"/>
              <w:jc w:val="right"/>
              <w:rPr>
                <w:b/>
              </w:rPr>
            </w:pPr>
            <w:r>
              <w:rPr>
                <w:b/>
              </w:rPr>
              <w:t>1.6</w:t>
            </w:r>
          </w:p>
        </w:tc>
        <w:tc>
          <w:tcPr>
            <w:tcW w:w="1110" w:type="dxa"/>
            <w:gridSpan w:val="2"/>
            <w:vAlign w:val="bottom"/>
          </w:tcPr>
          <w:p w14:paraId="1A1EF650" w14:textId="05F9A639" w:rsidR="002649F3" w:rsidRPr="00D73661" w:rsidRDefault="002649F3" w:rsidP="00D73661">
            <w:pPr>
              <w:pStyle w:val="Tabletext"/>
              <w:jc w:val="right"/>
            </w:pPr>
            <w:r w:rsidRPr="00D73661">
              <w:t>2.3</w:t>
            </w:r>
          </w:p>
        </w:tc>
      </w:tr>
      <w:tr w:rsidR="002649F3" w:rsidRPr="00716EDB" w14:paraId="7FD4C31E" w14:textId="77777777" w:rsidTr="002649F3">
        <w:tc>
          <w:tcPr>
            <w:tcW w:w="6084" w:type="dxa"/>
            <w:tcBorders>
              <w:bottom w:val="single" w:sz="4" w:space="0" w:color="93B7BB"/>
            </w:tcBorders>
          </w:tcPr>
          <w:p w14:paraId="588AF9EF" w14:textId="14670877" w:rsidR="002649F3" w:rsidRPr="00D73661" w:rsidRDefault="002649F3" w:rsidP="002649F3">
            <w:pPr>
              <w:pStyle w:val="Tabletextindented"/>
            </w:pPr>
            <w:r>
              <w:t xml:space="preserve">Income tax paid </w:t>
            </w:r>
          </w:p>
        </w:tc>
        <w:tc>
          <w:tcPr>
            <w:tcW w:w="749" w:type="dxa"/>
            <w:gridSpan w:val="2"/>
            <w:tcBorders>
              <w:bottom w:val="single" w:sz="4" w:space="0" w:color="93B7BB"/>
            </w:tcBorders>
            <w:vAlign w:val="bottom"/>
          </w:tcPr>
          <w:p w14:paraId="66A33AB6" w14:textId="77777777" w:rsidR="002649F3" w:rsidRPr="00D73661" w:rsidRDefault="002649F3" w:rsidP="00D73661">
            <w:pPr>
              <w:pStyle w:val="Tabletext"/>
              <w:jc w:val="right"/>
            </w:pPr>
          </w:p>
        </w:tc>
        <w:tc>
          <w:tcPr>
            <w:tcW w:w="1129" w:type="dxa"/>
            <w:tcBorders>
              <w:bottom w:val="single" w:sz="4" w:space="0" w:color="93B7BB"/>
            </w:tcBorders>
            <w:shd w:val="clear" w:color="auto" w:fill="EFF4F5"/>
            <w:vAlign w:val="bottom"/>
          </w:tcPr>
          <w:p w14:paraId="1F103FBF" w14:textId="7A376050" w:rsidR="002649F3" w:rsidRPr="001B45E4" w:rsidRDefault="002649F3" w:rsidP="00D73661">
            <w:pPr>
              <w:pStyle w:val="Tabletext"/>
              <w:jc w:val="right"/>
              <w:rPr>
                <w:b/>
              </w:rPr>
            </w:pPr>
            <w:r>
              <w:rPr>
                <w:b/>
              </w:rPr>
              <w:t>(6.9)</w:t>
            </w:r>
          </w:p>
        </w:tc>
        <w:tc>
          <w:tcPr>
            <w:tcW w:w="1110" w:type="dxa"/>
            <w:gridSpan w:val="2"/>
            <w:tcBorders>
              <w:bottom w:val="single" w:sz="4" w:space="0" w:color="93B7BB"/>
            </w:tcBorders>
            <w:vAlign w:val="bottom"/>
          </w:tcPr>
          <w:p w14:paraId="4D6A3DE1" w14:textId="46E893EC" w:rsidR="002649F3" w:rsidRPr="00D73661" w:rsidRDefault="002649F3" w:rsidP="00D73661">
            <w:pPr>
              <w:pStyle w:val="Tabletext"/>
              <w:jc w:val="right"/>
            </w:pPr>
            <w:r w:rsidRPr="00D73661">
              <w:t>–</w:t>
            </w:r>
          </w:p>
        </w:tc>
      </w:tr>
      <w:tr w:rsidR="002649F3" w:rsidRPr="00716EDB" w14:paraId="1078EB19" w14:textId="77777777" w:rsidTr="007D31B0">
        <w:tc>
          <w:tcPr>
            <w:tcW w:w="6084" w:type="dxa"/>
            <w:tcBorders>
              <w:top w:val="single" w:sz="4" w:space="0" w:color="93B7BB"/>
              <w:bottom w:val="single" w:sz="4" w:space="0" w:color="93B7BB"/>
            </w:tcBorders>
          </w:tcPr>
          <w:p w14:paraId="204E42B2" w14:textId="77777777" w:rsidR="002649F3" w:rsidRPr="00D73661" w:rsidRDefault="002649F3" w:rsidP="00D73661">
            <w:pPr>
              <w:pStyle w:val="Tabletext"/>
              <w:rPr>
                <w:b/>
                <w:lang w:eastAsia="nl-NL"/>
              </w:rPr>
            </w:pPr>
            <w:r w:rsidRPr="00D73661">
              <w:rPr>
                <w:b/>
                <w:lang w:val="en-US" w:eastAsia="nl-NL"/>
              </w:rPr>
              <w:t>Net cash from operating activities</w:t>
            </w:r>
          </w:p>
        </w:tc>
        <w:tc>
          <w:tcPr>
            <w:tcW w:w="749" w:type="dxa"/>
            <w:gridSpan w:val="2"/>
            <w:tcBorders>
              <w:top w:val="single" w:sz="4" w:space="0" w:color="93B7BB"/>
              <w:bottom w:val="single" w:sz="4" w:space="0" w:color="93B7BB"/>
            </w:tcBorders>
            <w:vAlign w:val="bottom"/>
          </w:tcPr>
          <w:p w14:paraId="7561769C" w14:textId="77777777" w:rsidR="002649F3" w:rsidRPr="00D73661" w:rsidRDefault="002649F3" w:rsidP="00D73661">
            <w:pPr>
              <w:pStyle w:val="Tabletext"/>
              <w:jc w:val="right"/>
            </w:pPr>
          </w:p>
        </w:tc>
        <w:tc>
          <w:tcPr>
            <w:tcW w:w="1129" w:type="dxa"/>
            <w:tcBorders>
              <w:top w:val="single" w:sz="4" w:space="0" w:color="93B7BB"/>
              <w:bottom w:val="single" w:sz="4" w:space="0" w:color="93B7BB"/>
            </w:tcBorders>
            <w:shd w:val="clear" w:color="auto" w:fill="EFF4F5"/>
            <w:vAlign w:val="bottom"/>
          </w:tcPr>
          <w:p w14:paraId="3710379B" w14:textId="637F9222" w:rsidR="002649F3" w:rsidRPr="001B45E4" w:rsidRDefault="002649F3" w:rsidP="00D73661">
            <w:pPr>
              <w:pStyle w:val="Tabletext"/>
              <w:jc w:val="right"/>
              <w:rPr>
                <w:b/>
              </w:rPr>
            </w:pPr>
            <w:r>
              <w:rPr>
                <w:b/>
              </w:rPr>
              <w:t>155.3</w:t>
            </w:r>
          </w:p>
        </w:tc>
        <w:tc>
          <w:tcPr>
            <w:tcW w:w="1110" w:type="dxa"/>
            <w:gridSpan w:val="2"/>
            <w:tcBorders>
              <w:top w:val="single" w:sz="4" w:space="0" w:color="93B7BB"/>
              <w:bottom w:val="single" w:sz="4" w:space="0" w:color="93B7BB"/>
            </w:tcBorders>
            <w:vAlign w:val="bottom"/>
          </w:tcPr>
          <w:p w14:paraId="043215BF" w14:textId="2C7EAC89" w:rsidR="002649F3" w:rsidRPr="00D73661" w:rsidRDefault="002649F3" w:rsidP="00D73661">
            <w:pPr>
              <w:pStyle w:val="Tabletext"/>
              <w:jc w:val="right"/>
            </w:pPr>
            <w:r w:rsidRPr="00D73661">
              <w:t>113.0</w:t>
            </w:r>
          </w:p>
        </w:tc>
      </w:tr>
      <w:tr w:rsidR="002649F3" w:rsidRPr="00716EDB" w14:paraId="36E8506C" w14:textId="77777777" w:rsidTr="007D31B0">
        <w:trPr>
          <w:gridAfter w:val="1"/>
          <w:wAfter w:w="36" w:type="dxa"/>
        </w:trPr>
        <w:tc>
          <w:tcPr>
            <w:tcW w:w="6084" w:type="dxa"/>
            <w:tcBorders>
              <w:top w:val="single" w:sz="4" w:space="0" w:color="93B7BB"/>
            </w:tcBorders>
          </w:tcPr>
          <w:p w14:paraId="09DFE617" w14:textId="77777777" w:rsidR="002649F3" w:rsidRPr="00D73661" w:rsidRDefault="002649F3" w:rsidP="00D73661">
            <w:pPr>
              <w:pStyle w:val="Tabletext"/>
              <w:rPr>
                <w:b/>
                <w:lang w:eastAsia="nl-NL"/>
              </w:rPr>
            </w:pPr>
            <w:r w:rsidRPr="00D73661">
              <w:rPr>
                <w:b/>
                <w:lang w:val="en-US" w:eastAsia="nl-NL"/>
              </w:rPr>
              <w:t>Cash flows from investing activities</w:t>
            </w:r>
          </w:p>
        </w:tc>
        <w:tc>
          <w:tcPr>
            <w:tcW w:w="738" w:type="dxa"/>
            <w:tcBorders>
              <w:top w:val="single" w:sz="4" w:space="0" w:color="93B7BB"/>
            </w:tcBorders>
            <w:vAlign w:val="bottom"/>
          </w:tcPr>
          <w:p w14:paraId="6D8AC92F" w14:textId="77777777" w:rsidR="002649F3" w:rsidRPr="00D73661" w:rsidRDefault="002649F3" w:rsidP="00D73661">
            <w:pPr>
              <w:pStyle w:val="Tabletext"/>
              <w:jc w:val="right"/>
            </w:pPr>
          </w:p>
        </w:tc>
        <w:tc>
          <w:tcPr>
            <w:tcW w:w="1140" w:type="dxa"/>
            <w:gridSpan w:val="2"/>
            <w:tcBorders>
              <w:top w:val="single" w:sz="4" w:space="0" w:color="93B7BB"/>
            </w:tcBorders>
            <w:shd w:val="clear" w:color="auto" w:fill="EFF4F5"/>
            <w:vAlign w:val="bottom"/>
          </w:tcPr>
          <w:p w14:paraId="0054FF32" w14:textId="77777777" w:rsidR="002649F3" w:rsidRPr="001B45E4" w:rsidRDefault="002649F3" w:rsidP="00D73661">
            <w:pPr>
              <w:pStyle w:val="Tabletext"/>
              <w:jc w:val="right"/>
              <w:rPr>
                <w:b/>
              </w:rPr>
            </w:pPr>
          </w:p>
        </w:tc>
        <w:tc>
          <w:tcPr>
            <w:tcW w:w="1074" w:type="dxa"/>
            <w:vAlign w:val="bottom"/>
          </w:tcPr>
          <w:p w14:paraId="57CEE306" w14:textId="77777777" w:rsidR="002649F3" w:rsidRPr="00D73661" w:rsidRDefault="002649F3" w:rsidP="00D73661">
            <w:pPr>
              <w:pStyle w:val="Tabletext"/>
              <w:jc w:val="right"/>
            </w:pPr>
          </w:p>
        </w:tc>
      </w:tr>
      <w:tr w:rsidR="002649F3" w:rsidRPr="00716EDB" w14:paraId="3D30B0EA" w14:textId="77777777" w:rsidTr="007D31B0">
        <w:trPr>
          <w:gridAfter w:val="1"/>
          <w:wAfter w:w="36" w:type="dxa"/>
        </w:trPr>
        <w:tc>
          <w:tcPr>
            <w:tcW w:w="6084" w:type="dxa"/>
          </w:tcPr>
          <w:p w14:paraId="09620F09" w14:textId="6F08AC0E" w:rsidR="002649F3" w:rsidRPr="00D73661" w:rsidRDefault="002649F3" w:rsidP="000F057D">
            <w:pPr>
              <w:pStyle w:val="Tabletext"/>
              <w:rPr>
                <w:lang w:val="en-US" w:eastAsia="nl-NL"/>
              </w:rPr>
            </w:pPr>
            <w:r w:rsidRPr="00D73661">
              <w:rPr>
                <w:lang w:val="en-US" w:eastAsia="nl-NL"/>
              </w:rPr>
              <w:t xml:space="preserve">Acquisition of </w:t>
            </w:r>
            <w:r>
              <w:rPr>
                <w:lang w:val="en-US" w:eastAsia="nl-NL"/>
              </w:rPr>
              <w:t>business and trading assets</w:t>
            </w:r>
            <w:r w:rsidRPr="00D73661">
              <w:rPr>
                <w:lang w:val="en-US" w:eastAsia="nl-NL"/>
              </w:rPr>
              <w:t>, net of cash acquired</w:t>
            </w:r>
          </w:p>
        </w:tc>
        <w:tc>
          <w:tcPr>
            <w:tcW w:w="738" w:type="dxa"/>
            <w:vAlign w:val="bottom"/>
          </w:tcPr>
          <w:p w14:paraId="11E790E8" w14:textId="02686AC3" w:rsidR="002649F3" w:rsidRPr="00D73661" w:rsidRDefault="002649F3" w:rsidP="00D73661">
            <w:pPr>
              <w:pStyle w:val="Tabletext"/>
              <w:jc w:val="right"/>
            </w:pPr>
          </w:p>
        </w:tc>
        <w:tc>
          <w:tcPr>
            <w:tcW w:w="1140" w:type="dxa"/>
            <w:gridSpan w:val="2"/>
            <w:shd w:val="clear" w:color="auto" w:fill="EFF4F5"/>
            <w:vAlign w:val="bottom"/>
          </w:tcPr>
          <w:p w14:paraId="7BAED671" w14:textId="6F3B2ACF" w:rsidR="002649F3" w:rsidRPr="001B45E4" w:rsidRDefault="002649F3" w:rsidP="00D73661">
            <w:pPr>
              <w:pStyle w:val="Tabletext"/>
              <w:jc w:val="right"/>
              <w:rPr>
                <w:b/>
              </w:rPr>
            </w:pPr>
            <w:r w:rsidRPr="002649F3">
              <w:rPr>
                <w:b/>
              </w:rPr>
              <w:t>–</w:t>
            </w:r>
          </w:p>
        </w:tc>
        <w:tc>
          <w:tcPr>
            <w:tcW w:w="1074" w:type="dxa"/>
            <w:vAlign w:val="bottom"/>
          </w:tcPr>
          <w:p w14:paraId="7D6595CC" w14:textId="3360783E" w:rsidR="002649F3" w:rsidRPr="00D73661" w:rsidRDefault="002649F3" w:rsidP="00D73661">
            <w:pPr>
              <w:pStyle w:val="Tabletext"/>
              <w:jc w:val="right"/>
            </w:pPr>
            <w:r w:rsidRPr="00D73661">
              <w:t>(38.5)</w:t>
            </w:r>
          </w:p>
        </w:tc>
      </w:tr>
      <w:tr w:rsidR="002649F3" w:rsidRPr="00716EDB" w14:paraId="7159306D" w14:textId="77777777" w:rsidTr="007D31B0">
        <w:trPr>
          <w:gridAfter w:val="1"/>
          <w:wAfter w:w="36" w:type="dxa"/>
        </w:trPr>
        <w:tc>
          <w:tcPr>
            <w:tcW w:w="6084" w:type="dxa"/>
          </w:tcPr>
          <w:p w14:paraId="0FFFD9F3" w14:textId="77777777" w:rsidR="002649F3" w:rsidRPr="00D73661" w:rsidRDefault="002649F3" w:rsidP="00D73661">
            <w:pPr>
              <w:pStyle w:val="Tabletext"/>
              <w:rPr>
                <w:lang w:eastAsia="nl-NL"/>
              </w:rPr>
            </w:pPr>
            <w:r w:rsidRPr="00D73661">
              <w:rPr>
                <w:lang w:val="en-US" w:eastAsia="nl-NL"/>
              </w:rPr>
              <w:t>Purchase of property, plant and equipment</w:t>
            </w:r>
          </w:p>
        </w:tc>
        <w:tc>
          <w:tcPr>
            <w:tcW w:w="738" w:type="dxa"/>
            <w:vAlign w:val="bottom"/>
          </w:tcPr>
          <w:p w14:paraId="65590A0E" w14:textId="77777777" w:rsidR="002649F3" w:rsidRPr="00D73661" w:rsidRDefault="002649F3" w:rsidP="00D73661">
            <w:pPr>
              <w:pStyle w:val="Tabletext"/>
              <w:jc w:val="right"/>
            </w:pPr>
          </w:p>
        </w:tc>
        <w:tc>
          <w:tcPr>
            <w:tcW w:w="1140" w:type="dxa"/>
            <w:gridSpan w:val="2"/>
            <w:shd w:val="clear" w:color="auto" w:fill="EFF4F5"/>
            <w:vAlign w:val="bottom"/>
          </w:tcPr>
          <w:p w14:paraId="23E39F91" w14:textId="4BE64275" w:rsidR="002649F3" w:rsidRPr="001B45E4" w:rsidRDefault="002649F3" w:rsidP="00D73661">
            <w:pPr>
              <w:pStyle w:val="Tabletext"/>
              <w:jc w:val="right"/>
              <w:rPr>
                <w:b/>
              </w:rPr>
            </w:pPr>
            <w:r>
              <w:rPr>
                <w:b/>
              </w:rPr>
              <w:t>(109.5)</w:t>
            </w:r>
          </w:p>
        </w:tc>
        <w:tc>
          <w:tcPr>
            <w:tcW w:w="1074" w:type="dxa"/>
            <w:vAlign w:val="bottom"/>
          </w:tcPr>
          <w:p w14:paraId="6E6D4767" w14:textId="4F6FF483" w:rsidR="002649F3" w:rsidRPr="00D73661" w:rsidRDefault="002649F3" w:rsidP="00D73661">
            <w:pPr>
              <w:pStyle w:val="Tabletext"/>
              <w:jc w:val="right"/>
            </w:pPr>
            <w:r w:rsidRPr="00D73661">
              <w:t>(66.6)</w:t>
            </w:r>
          </w:p>
        </w:tc>
      </w:tr>
      <w:tr w:rsidR="002649F3" w:rsidRPr="00716EDB" w14:paraId="1EB55A3E" w14:textId="77777777" w:rsidTr="007D31B0">
        <w:trPr>
          <w:gridAfter w:val="1"/>
          <w:wAfter w:w="36" w:type="dxa"/>
        </w:trPr>
        <w:tc>
          <w:tcPr>
            <w:tcW w:w="6084" w:type="dxa"/>
          </w:tcPr>
          <w:p w14:paraId="05A3C91A" w14:textId="4BAD3790" w:rsidR="002649F3" w:rsidRPr="00D73661" w:rsidRDefault="00B22EA5" w:rsidP="00B22EA5">
            <w:pPr>
              <w:pStyle w:val="Tabletext"/>
              <w:rPr>
                <w:lang w:eastAsia="nl-NL"/>
              </w:rPr>
            </w:pPr>
            <w:r>
              <w:rPr>
                <w:lang w:val="en-US" w:eastAsia="nl-NL"/>
              </w:rPr>
              <w:t>(Costs of)/p</w:t>
            </w:r>
            <w:r w:rsidR="002649F3" w:rsidRPr="00D73661">
              <w:rPr>
                <w:lang w:val="en-US" w:eastAsia="nl-NL"/>
              </w:rPr>
              <w:t>roceeds from disposal of property, plant and equipment</w:t>
            </w:r>
          </w:p>
        </w:tc>
        <w:tc>
          <w:tcPr>
            <w:tcW w:w="738" w:type="dxa"/>
            <w:vAlign w:val="bottom"/>
          </w:tcPr>
          <w:p w14:paraId="77669587" w14:textId="77777777" w:rsidR="002649F3" w:rsidRPr="00D73661" w:rsidRDefault="002649F3" w:rsidP="00D73661">
            <w:pPr>
              <w:pStyle w:val="Tabletext"/>
              <w:jc w:val="right"/>
            </w:pPr>
          </w:p>
        </w:tc>
        <w:tc>
          <w:tcPr>
            <w:tcW w:w="1140" w:type="dxa"/>
            <w:gridSpan w:val="2"/>
            <w:shd w:val="clear" w:color="auto" w:fill="EFF4F5"/>
            <w:vAlign w:val="bottom"/>
          </w:tcPr>
          <w:p w14:paraId="358346E4" w14:textId="5B9054B3" w:rsidR="002649F3" w:rsidRPr="001B45E4" w:rsidRDefault="002649F3" w:rsidP="00D73661">
            <w:pPr>
              <w:pStyle w:val="Tabletext"/>
              <w:jc w:val="right"/>
              <w:rPr>
                <w:b/>
              </w:rPr>
            </w:pPr>
            <w:r>
              <w:rPr>
                <w:b/>
              </w:rPr>
              <w:t>(0.4)</w:t>
            </w:r>
          </w:p>
        </w:tc>
        <w:tc>
          <w:tcPr>
            <w:tcW w:w="1074" w:type="dxa"/>
            <w:vAlign w:val="bottom"/>
          </w:tcPr>
          <w:p w14:paraId="08437392" w14:textId="5CAEF42E" w:rsidR="002649F3" w:rsidRPr="00D73661" w:rsidRDefault="002649F3" w:rsidP="00D73661">
            <w:pPr>
              <w:pStyle w:val="Tabletext"/>
              <w:jc w:val="right"/>
            </w:pPr>
            <w:r w:rsidRPr="00D73661">
              <w:t>34.8</w:t>
            </w:r>
          </w:p>
        </w:tc>
      </w:tr>
      <w:tr w:rsidR="002649F3" w:rsidRPr="00716EDB" w14:paraId="63642CCC" w14:textId="77777777" w:rsidTr="00B22EA5">
        <w:trPr>
          <w:gridAfter w:val="1"/>
          <w:wAfter w:w="36" w:type="dxa"/>
        </w:trPr>
        <w:tc>
          <w:tcPr>
            <w:tcW w:w="6084" w:type="dxa"/>
            <w:tcBorders>
              <w:bottom w:val="single" w:sz="4" w:space="0" w:color="93B7BB"/>
            </w:tcBorders>
          </w:tcPr>
          <w:p w14:paraId="2E53CAD3" w14:textId="77777777" w:rsidR="002649F3" w:rsidRPr="00D73661" w:rsidRDefault="002649F3" w:rsidP="00D73661">
            <w:pPr>
              <w:pStyle w:val="Tabletext"/>
              <w:rPr>
                <w:lang w:eastAsia="nl-NL"/>
              </w:rPr>
            </w:pPr>
            <w:r w:rsidRPr="00D73661">
              <w:rPr>
                <w:lang w:val="en-US" w:eastAsia="nl-NL"/>
              </w:rPr>
              <w:t>Interest received</w:t>
            </w:r>
          </w:p>
        </w:tc>
        <w:tc>
          <w:tcPr>
            <w:tcW w:w="738" w:type="dxa"/>
            <w:tcBorders>
              <w:bottom w:val="single" w:sz="4" w:space="0" w:color="93B7BB"/>
            </w:tcBorders>
            <w:vAlign w:val="bottom"/>
          </w:tcPr>
          <w:p w14:paraId="5F98D35F" w14:textId="77777777" w:rsidR="002649F3" w:rsidRPr="00D73661" w:rsidRDefault="002649F3" w:rsidP="00D73661">
            <w:pPr>
              <w:pStyle w:val="Tabletext"/>
              <w:jc w:val="right"/>
            </w:pPr>
          </w:p>
        </w:tc>
        <w:tc>
          <w:tcPr>
            <w:tcW w:w="1140" w:type="dxa"/>
            <w:gridSpan w:val="2"/>
            <w:tcBorders>
              <w:bottom w:val="single" w:sz="4" w:space="0" w:color="93B7BB"/>
            </w:tcBorders>
            <w:shd w:val="clear" w:color="auto" w:fill="EFF4F5"/>
            <w:vAlign w:val="bottom"/>
          </w:tcPr>
          <w:p w14:paraId="04F1D1BC" w14:textId="4B0E3AD5" w:rsidR="002649F3" w:rsidRPr="001B45E4" w:rsidRDefault="002649F3" w:rsidP="00D73661">
            <w:pPr>
              <w:pStyle w:val="Tabletext"/>
              <w:jc w:val="right"/>
              <w:rPr>
                <w:b/>
              </w:rPr>
            </w:pPr>
            <w:r>
              <w:rPr>
                <w:b/>
              </w:rPr>
              <w:t>0.3</w:t>
            </w:r>
          </w:p>
        </w:tc>
        <w:tc>
          <w:tcPr>
            <w:tcW w:w="1074" w:type="dxa"/>
            <w:tcBorders>
              <w:bottom w:val="single" w:sz="4" w:space="0" w:color="93B7BB"/>
            </w:tcBorders>
            <w:vAlign w:val="bottom"/>
          </w:tcPr>
          <w:p w14:paraId="4C07D431" w14:textId="5D0EB55B" w:rsidR="002649F3" w:rsidRPr="00D73661" w:rsidRDefault="002649F3" w:rsidP="00D73661">
            <w:pPr>
              <w:pStyle w:val="Tabletext"/>
              <w:jc w:val="right"/>
            </w:pPr>
            <w:r w:rsidRPr="00D73661">
              <w:t>0.3</w:t>
            </w:r>
          </w:p>
        </w:tc>
      </w:tr>
      <w:tr w:rsidR="002649F3" w:rsidRPr="00716EDB" w14:paraId="32DB36F3" w14:textId="77777777" w:rsidTr="00B22EA5">
        <w:trPr>
          <w:gridAfter w:val="1"/>
          <w:wAfter w:w="36" w:type="dxa"/>
        </w:trPr>
        <w:tc>
          <w:tcPr>
            <w:tcW w:w="6084" w:type="dxa"/>
            <w:tcBorders>
              <w:top w:val="single" w:sz="4" w:space="0" w:color="93B7BB"/>
              <w:bottom w:val="single" w:sz="4" w:space="0" w:color="93B7BB"/>
            </w:tcBorders>
          </w:tcPr>
          <w:p w14:paraId="15177583" w14:textId="4E9036E8" w:rsidR="002649F3" w:rsidRPr="00D73661" w:rsidRDefault="002649F3" w:rsidP="002649F3">
            <w:pPr>
              <w:pStyle w:val="Tabletext"/>
              <w:rPr>
                <w:b/>
                <w:lang w:eastAsia="nl-NL"/>
              </w:rPr>
            </w:pPr>
            <w:r w:rsidRPr="00D73661">
              <w:rPr>
                <w:b/>
                <w:lang w:val="en-US" w:eastAsia="nl-NL"/>
              </w:rPr>
              <w:t>Net cash used in investing activities</w:t>
            </w:r>
          </w:p>
        </w:tc>
        <w:tc>
          <w:tcPr>
            <w:tcW w:w="738" w:type="dxa"/>
            <w:tcBorders>
              <w:top w:val="single" w:sz="4" w:space="0" w:color="93B7BB"/>
              <w:bottom w:val="single" w:sz="4" w:space="0" w:color="93B7BB"/>
            </w:tcBorders>
            <w:vAlign w:val="bottom"/>
          </w:tcPr>
          <w:p w14:paraId="4003EF8B" w14:textId="77777777" w:rsidR="002649F3" w:rsidRPr="00D73661" w:rsidRDefault="002649F3" w:rsidP="00D73661">
            <w:pPr>
              <w:pStyle w:val="Tabletext"/>
              <w:jc w:val="right"/>
            </w:pPr>
          </w:p>
        </w:tc>
        <w:tc>
          <w:tcPr>
            <w:tcW w:w="1140" w:type="dxa"/>
            <w:gridSpan w:val="2"/>
            <w:tcBorders>
              <w:top w:val="single" w:sz="4" w:space="0" w:color="93B7BB"/>
              <w:bottom w:val="single" w:sz="4" w:space="0" w:color="93B7BB"/>
            </w:tcBorders>
            <w:shd w:val="clear" w:color="auto" w:fill="EFF4F5"/>
            <w:vAlign w:val="bottom"/>
          </w:tcPr>
          <w:p w14:paraId="72096FE0" w14:textId="7BF3D51E" w:rsidR="002649F3" w:rsidRPr="001B45E4" w:rsidRDefault="002649F3" w:rsidP="00D73661">
            <w:pPr>
              <w:pStyle w:val="Tabletext"/>
              <w:jc w:val="right"/>
              <w:rPr>
                <w:b/>
              </w:rPr>
            </w:pPr>
            <w:r>
              <w:rPr>
                <w:b/>
              </w:rPr>
              <w:t>(109.6)</w:t>
            </w:r>
          </w:p>
        </w:tc>
        <w:tc>
          <w:tcPr>
            <w:tcW w:w="1074" w:type="dxa"/>
            <w:tcBorders>
              <w:top w:val="single" w:sz="4" w:space="0" w:color="93B7BB"/>
              <w:bottom w:val="single" w:sz="4" w:space="0" w:color="93B7BB"/>
            </w:tcBorders>
            <w:vAlign w:val="bottom"/>
          </w:tcPr>
          <w:p w14:paraId="6F15D00B" w14:textId="5BE75542" w:rsidR="002649F3" w:rsidRPr="00D73661" w:rsidRDefault="002649F3" w:rsidP="00D73661">
            <w:pPr>
              <w:pStyle w:val="Tabletext"/>
              <w:jc w:val="right"/>
            </w:pPr>
            <w:r w:rsidRPr="00D73661">
              <w:t>(70.0)</w:t>
            </w:r>
          </w:p>
        </w:tc>
      </w:tr>
      <w:tr w:rsidR="002649F3" w:rsidRPr="00716EDB" w14:paraId="12640AA8" w14:textId="77777777" w:rsidTr="00B22EA5">
        <w:trPr>
          <w:gridAfter w:val="1"/>
          <w:wAfter w:w="36" w:type="dxa"/>
        </w:trPr>
        <w:tc>
          <w:tcPr>
            <w:tcW w:w="6084" w:type="dxa"/>
            <w:tcBorders>
              <w:top w:val="single" w:sz="4" w:space="0" w:color="93B7BB"/>
            </w:tcBorders>
          </w:tcPr>
          <w:p w14:paraId="1ED7D2FC" w14:textId="77777777" w:rsidR="002649F3" w:rsidRPr="00B22EA5" w:rsidRDefault="002649F3" w:rsidP="00D73661">
            <w:pPr>
              <w:pStyle w:val="Tabletext"/>
              <w:rPr>
                <w:b/>
                <w:lang w:val="en-US" w:eastAsia="nl-NL"/>
              </w:rPr>
            </w:pPr>
            <w:r w:rsidRPr="00D73661">
              <w:rPr>
                <w:b/>
                <w:lang w:val="en-US" w:eastAsia="nl-NL"/>
              </w:rPr>
              <w:t>Cash flows from financing activities</w:t>
            </w:r>
          </w:p>
        </w:tc>
        <w:tc>
          <w:tcPr>
            <w:tcW w:w="738" w:type="dxa"/>
            <w:tcBorders>
              <w:top w:val="single" w:sz="4" w:space="0" w:color="93B7BB"/>
            </w:tcBorders>
            <w:vAlign w:val="bottom"/>
          </w:tcPr>
          <w:p w14:paraId="58C5C4B1" w14:textId="77777777" w:rsidR="002649F3" w:rsidRPr="00B22EA5" w:rsidRDefault="002649F3" w:rsidP="00D73661">
            <w:pPr>
              <w:pStyle w:val="Tabletext"/>
              <w:jc w:val="right"/>
              <w:rPr>
                <w:b/>
                <w:lang w:val="en-US" w:eastAsia="nl-NL"/>
              </w:rPr>
            </w:pPr>
          </w:p>
        </w:tc>
        <w:tc>
          <w:tcPr>
            <w:tcW w:w="1140" w:type="dxa"/>
            <w:gridSpan w:val="2"/>
            <w:tcBorders>
              <w:top w:val="single" w:sz="4" w:space="0" w:color="93B7BB"/>
            </w:tcBorders>
            <w:shd w:val="clear" w:color="auto" w:fill="EFF4F5"/>
            <w:vAlign w:val="bottom"/>
          </w:tcPr>
          <w:p w14:paraId="3617AE84" w14:textId="77777777" w:rsidR="002649F3" w:rsidRPr="00B22EA5" w:rsidRDefault="002649F3" w:rsidP="00D73661">
            <w:pPr>
              <w:pStyle w:val="Tabletext"/>
              <w:jc w:val="right"/>
              <w:rPr>
                <w:b/>
                <w:lang w:val="en-US" w:eastAsia="nl-NL"/>
              </w:rPr>
            </w:pPr>
          </w:p>
        </w:tc>
        <w:tc>
          <w:tcPr>
            <w:tcW w:w="1074" w:type="dxa"/>
            <w:tcBorders>
              <w:top w:val="single" w:sz="4" w:space="0" w:color="93B7BB"/>
            </w:tcBorders>
            <w:vAlign w:val="bottom"/>
          </w:tcPr>
          <w:p w14:paraId="458ECD3A" w14:textId="77777777" w:rsidR="002649F3" w:rsidRPr="00B22EA5" w:rsidRDefault="002649F3" w:rsidP="00D73661">
            <w:pPr>
              <w:pStyle w:val="Tabletext"/>
              <w:jc w:val="right"/>
              <w:rPr>
                <w:b/>
                <w:lang w:val="en-US" w:eastAsia="nl-NL"/>
              </w:rPr>
            </w:pPr>
          </w:p>
        </w:tc>
      </w:tr>
      <w:tr w:rsidR="002649F3" w:rsidRPr="00716EDB" w14:paraId="1C24354B" w14:textId="77777777" w:rsidTr="007D31B0">
        <w:trPr>
          <w:gridAfter w:val="1"/>
          <w:wAfter w:w="36" w:type="dxa"/>
        </w:trPr>
        <w:tc>
          <w:tcPr>
            <w:tcW w:w="6084" w:type="dxa"/>
          </w:tcPr>
          <w:p w14:paraId="22F987AE" w14:textId="77777777" w:rsidR="002649F3" w:rsidRPr="00D73661" w:rsidRDefault="002649F3" w:rsidP="00D73661">
            <w:pPr>
              <w:pStyle w:val="Tabletext"/>
              <w:rPr>
                <w:lang w:val="en-US" w:eastAsia="nl-NL"/>
              </w:rPr>
            </w:pPr>
            <w:r w:rsidRPr="00D73661">
              <w:rPr>
                <w:lang w:val="en-US" w:eastAsia="nl-NL"/>
              </w:rPr>
              <w:t>Proceeds from issue of share capital</w:t>
            </w:r>
          </w:p>
        </w:tc>
        <w:tc>
          <w:tcPr>
            <w:tcW w:w="738" w:type="dxa"/>
            <w:vAlign w:val="bottom"/>
          </w:tcPr>
          <w:p w14:paraId="59D6DDF9" w14:textId="77777777" w:rsidR="002649F3" w:rsidRPr="00D73661" w:rsidRDefault="002649F3" w:rsidP="00D73661">
            <w:pPr>
              <w:pStyle w:val="Tabletext"/>
              <w:jc w:val="right"/>
            </w:pPr>
          </w:p>
        </w:tc>
        <w:tc>
          <w:tcPr>
            <w:tcW w:w="1140" w:type="dxa"/>
            <w:gridSpan w:val="2"/>
            <w:shd w:val="clear" w:color="auto" w:fill="EFF4F5"/>
            <w:vAlign w:val="bottom"/>
          </w:tcPr>
          <w:p w14:paraId="230E8967" w14:textId="0D975274" w:rsidR="002649F3" w:rsidRPr="001B45E4" w:rsidRDefault="002649F3" w:rsidP="00D73661">
            <w:pPr>
              <w:pStyle w:val="Tabletext"/>
              <w:jc w:val="right"/>
              <w:rPr>
                <w:b/>
              </w:rPr>
            </w:pPr>
            <w:r w:rsidRPr="002649F3">
              <w:rPr>
                <w:b/>
              </w:rPr>
              <w:t>–</w:t>
            </w:r>
          </w:p>
        </w:tc>
        <w:tc>
          <w:tcPr>
            <w:tcW w:w="1074" w:type="dxa"/>
            <w:vAlign w:val="bottom"/>
          </w:tcPr>
          <w:p w14:paraId="7FB9F620" w14:textId="2F724E83" w:rsidR="002649F3" w:rsidRPr="00D73661" w:rsidRDefault="002649F3" w:rsidP="00D73661">
            <w:pPr>
              <w:pStyle w:val="Tabletext"/>
              <w:jc w:val="right"/>
            </w:pPr>
            <w:r w:rsidRPr="00D73661">
              <w:t>317.2</w:t>
            </w:r>
          </w:p>
        </w:tc>
      </w:tr>
      <w:tr w:rsidR="002649F3" w:rsidRPr="00716EDB" w14:paraId="00C45AF6" w14:textId="77777777" w:rsidTr="007D31B0">
        <w:trPr>
          <w:gridAfter w:val="1"/>
          <w:wAfter w:w="36" w:type="dxa"/>
        </w:trPr>
        <w:tc>
          <w:tcPr>
            <w:tcW w:w="6084" w:type="dxa"/>
          </w:tcPr>
          <w:p w14:paraId="341D47E7" w14:textId="77777777" w:rsidR="002649F3" w:rsidRPr="00D73661" w:rsidRDefault="002649F3" w:rsidP="00D73661">
            <w:pPr>
              <w:pStyle w:val="Tabletext"/>
              <w:rPr>
                <w:lang w:val="en-US" w:eastAsia="nl-NL"/>
              </w:rPr>
            </w:pPr>
            <w:r w:rsidRPr="00D73661">
              <w:rPr>
                <w:lang w:val="en-US" w:eastAsia="nl-NL"/>
              </w:rPr>
              <w:t>Share issue costs</w:t>
            </w:r>
          </w:p>
        </w:tc>
        <w:tc>
          <w:tcPr>
            <w:tcW w:w="738" w:type="dxa"/>
            <w:vAlign w:val="bottom"/>
          </w:tcPr>
          <w:p w14:paraId="625C3199" w14:textId="77777777" w:rsidR="002649F3" w:rsidRPr="00D73661" w:rsidRDefault="002649F3" w:rsidP="00D73661">
            <w:pPr>
              <w:pStyle w:val="Tabletext"/>
              <w:jc w:val="right"/>
            </w:pPr>
          </w:p>
        </w:tc>
        <w:tc>
          <w:tcPr>
            <w:tcW w:w="1140" w:type="dxa"/>
            <w:gridSpan w:val="2"/>
            <w:shd w:val="clear" w:color="auto" w:fill="EFF4F5"/>
            <w:vAlign w:val="bottom"/>
          </w:tcPr>
          <w:p w14:paraId="05E79BC5" w14:textId="0142DC66" w:rsidR="002649F3" w:rsidRPr="001B45E4" w:rsidRDefault="002649F3" w:rsidP="00D73661">
            <w:pPr>
              <w:pStyle w:val="Tabletext"/>
              <w:jc w:val="right"/>
              <w:rPr>
                <w:b/>
              </w:rPr>
            </w:pPr>
            <w:r w:rsidRPr="002649F3">
              <w:rPr>
                <w:b/>
              </w:rPr>
              <w:t>–</w:t>
            </w:r>
          </w:p>
        </w:tc>
        <w:tc>
          <w:tcPr>
            <w:tcW w:w="1074" w:type="dxa"/>
            <w:vAlign w:val="bottom"/>
          </w:tcPr>
          <w:p w14:paraId="214F783C" w14:textId="1EE8B5FB" w:rsidR="002649F3" w:rsidRPr="00D73661" w:rsidRDefault="002649F3" w:rsidP="00D73661">
            <w:pPr>
              <w:pStyle w:val="Tabletext"/>
              <w:jc w:val="right"/>
            </w:pPr>
            <w:r w:rsidRPr="00D73661">
              <w:t>(10.3)</w:t>
            </w:r>
          </w:p>
        </w:tc>
      </w:tr>
      <w:tr w:rsidR="002649F3" w:rsidRPr="00716EDB" w14:paraId="29F55EFC" w14:textId="77777777" w:rsidTr="007D31B0">
        <w:trPr>
          <w:gridAfter w:val="1"/>
          <w:wAfter w:w="36" w:type="dxa"/>
        </w:trPr>
        <w:tc>
          <w:tcPr>
            <w:tcW w:w="6084" w:type="dxa"/>
          </w:tcPr>
          <w:p w14:paraId="07E23596" w14:textId="2347757D" w:rsidR="002649F3" w:rsidRPr="00D73661" w:rsidRDefault="002649F3" w:rsidP="00A868F4">
            <w:pPr>
              <w:pStyle w:val="Tabletext"/>
              <w:rPr>
                <w:lang w:eastAsia="nl-NL"/>
              </w:rPr>
            </w:pPr>
            <w:r>
              <w:rPr>
                <w:lang w:val="en-US" w:eastAsia="nl-NL"/>
              </w:rPr>
              <w:t>Payment of s</w:t>
            </w:r>
            <w:r w:rsidRPr="00D73661">
              <w:rPr>
                <w:lang w:val="en-US" w:eastAsia="nl-NL"/>
              </w:rPr>
              <w:t>hare issue costs</w:t>
            </w:r>
            <w:r>
              <w:rPr>
                <w:lang w:val="en-US" w:eastAsia="nl-NL"/>
              </w:rPr>
              <w:t xml:space="preserve"> relating to prior year’s IPO</w:t>
            </w:r>
          </w:p>
        </w:tc>
        <w:tc>
          <w:tcPr>
            <w:tcW w:w="738" w:type="dxa"/>
            <w:vAlign w:val="bottom"/>
          </w:tcPr>
          <w:p w14:paraId="0C2E6109" w14:textId="77777777" w:rsidR="002649F3" w:rsidRPr="00D73661" w:rsidRDefault="002649F3" w:rsidP="00D73661">
            <w:pPr>
              <w:pStyle w:val="Tabletext"/>
              <w:jc w:val="right"/>
            </w:pPr>
          </w:p>
        </w:tc>
        <w:tc>
          <w:tcPr>
            <w:tcW w:w="1140" w:type="dxa"/>
            <w:gridSpan w:val="2"/>
            <w:shd w:val="clear" w:color="auto" w:fill="EFF4F5"/>
            <w:vAlign w:val="bottom"/>
          </w:tcPr>
          <w:p w14:paraId="6A4D5552" w14:textId="7D0DE7A1" w:rsidR="002649F3" w:rsidRPr="001B45E4" w:rsidRDefault="002649F3" w:rsidP="00D73661">
            <w:pPr>
              <w:pStyle w:val="Tabletext"/>
              <w:jc w:val="right"/>
              <w:rPr>
                <w:b/>
              </w:rPr>
            </w:pPr>
            <w:r>
              <w:rPr>
                <w:b/>
              </w:rPr>
              <w:t>(1.1)</w:t>
            </w:r>
          </w:p>
        </w:tc>
        <w:tc>
          <w:tcPr>
            <w:tcW w:w="1074" w:type="dxa"/>
            <w:vAlign w:val="bottom"/>
          </w:tcPr>
          <w:p w14:paraId="33CF1214" w14:textId="12568A0D" w:rsidR="002649F3" w:rsidRPr="00D73661" w:rsidRDefault="002649F3" w:rsidP="00D73661">
            <w:pPr>
              <w:pStyle w:val="Tabletext"/>
              <w:jc w:val="right"/>
            </w:pPr>
            <w:r w:rsidRPr="00D73661">
              <w:t>–</w:t>
            </w:r>
          </w:p>
        </w:tc>
      </w:tr>
      <w:tr w:rsidR="002649F3" w:rsidRPr="00716EDB" w14:paraId="13B22926" w14:textId="77777777" w:rsidTr="007D31B0">
        <w:trPr>
          <w:gridAfter w:val="1"/>
          <w:wAfter w:w="36" w:type="dxa"/>
        </w:trPr>
        <w:tc>
          <w:tcPr>
            <w:tcW w:w="6084" w:type="dxa"/>
          </w:tcPr>
          <w:p w14:paraId="4549BB98" w14:textId="77777777" w:rsidR="002649F3" w:rsidRPr="00D73661" w:rsidRDefault="002649F3" w:rsidP="00D73661">
            <w:pPr>
              <w:pStyle w:val="Tabletext"/>
              <w:rPr>
                <w:lang w:val="en-US" w:eastAsia="nl-NL"/>
              </w:rPr>
            </w:pPr>
            <w:r w:rsidRPr="00D73661">
              <w:rPr>
                <w:lang w:val="en-US" w:eastAsia="nl-NL"/>
              </w:rPr>
              <w:t>Interest paid</w:t>
            </w:r>
          </w:p>
        </w:tc>
        <w:tc>
          <w:tcPr>
            <w:tcW w:w="738" w:type="dxa"/>
            <w:vAlign w:val="bottom"/>
          </w:tcPr>
          <w:p w14:paraId="38AE8C16" w14:textId="77777777" w:rsidR="002649F3" w:rsidRPr="00D73661" w:rsidRDefault="002649F3" w:rsidP="00D73661">
            <w:pPr>
              <w:pStyle w:val="Tabletext"/>
              <w:jc w:val="right"/>
            </w:pPr>
          </w:p>
        </w:tc>
        <w:tc>
          <w:tcPr>
            <w:tcW w:w="1140" w:type="dxa"/>
            <w:gridSpan w:val="2"/>
            <w:shd w:val="clear" w:color="auto" w:fill="EFF4F5"/>
            <w:vAlign w:val="bottom"/>
          </w:tcPr>
          <w:p w14:paraId="1B4107FA" w14:textId="44979C82" w:rsidR="002649F3" w:rsidRPr="001B45E4" w:rsidRDefault="002649F3" w:rsidP="00D73661">
            <w:pPr>
              <w:pStyle w:val="Tabletext"/>
              <w:jc w:val="right"/>
              <w:rPr>
                <w:b/>
              </w:rPr>
            </w:pPr>
            <w:r>
              <w:rPr>
                <w:b/>
              </w:rPr>
              <w:t>(21.4)</w:t>
            </w:r>
          </w:p>
        </w:tc>
        <w:tc>
          <w:tcPr>
            <w:tcW w:w="1074" w:type="dxa"/>
            <w:vAlign w:val="bottom"/>
          </w:tcPr>
          <w:p w14:paraId="28DBCF73" w14:textId="5DC20879" w:rsidR="002649F3" w:rsidRPr="00D73661" w:rsidRDefault="002649F3" w:rsidP="00D73661">
            <w:pPr>
              <w:pStyle w:val="Tabletext"/>
              <w:jc w:val="right"/>
            </w:pPr>
            <w:r w:rsidRPr="00D73661">
              <w:t>(41.3)</w:t>
            </w:r>
          </w:p>
        </w:tc>
      </w:tr>
      <w:tr w:rsidR="002649F3" w:rsidRPr="00716EDB" w14:paraId="385B7293" w14:textId="77777777" w:rsidTr="007D31B0">
        <w:trPr>
          <w:gridAfter w:val="1"/>
          <w:wAfter w:w="36" w:type="dxa"/>
        </w:trPr>
        <w:tc>
          <w:tcPr>
            <w:tcW w:w="6084" w:type="dxa"/>
          </w:tcPr>
          <w:p w14:paraId="34E15D63" w14:textId="77777777" w:rsidR="002649F3" w:rsidRPr="00D73661" w:rsidRDefault="002649F3" w:rsidP="00D73661">
            <w:pPr>
              <w:pStyle w:val="Tabletext"/>
              <w:rPr>
                <w:lang w:eastAsia="nl-NL"/>
              </w:rPr>
            </w:pPr>
            <w:r w:rsidRPr="00D73661">
              <w:rPr>
                <w:lang w:val="en-US" w:eastAsia="nl-NL"/>
              </w:rPr>
              <w:t>Repayments of borrowings</w:t>
            </w:r>
          </w:p>
        </w:tc>
        <w:tc>
          <w:tcPr>
            <w:tcW w:w="738" w:type="dxa"/>
            <w:vAlign w:val="bottom"/>
          </w:tcPr>
          <w:p w14:paraId="44C87CDA" w14:textId="77777777" w:rsidR="002649F3" w:rsidRPr="00D73661" w:rsidRDefault="002649F3" w:rsidP="00D73661">
            <w:pPr>
              <w:pStyle w:val="Tabletext"/>
              <w:jc w:val="right"/>
            </w:pPr>
          </w:p>
        </w:tc>
        <w:tc>
          <w:tcPr>
            <w:tcW w:w="1140" w:type="dxa"/>
            <w:gridSpan w:val="2"/>
            <w:shd w:val="clear" w:color="auto" w:fill="EFF4F5"/>
            <w:vAlign w:val="bottom"/>
          </w:tcPr>
          <w:p w14:paraId="5A6A8186" w14:textId="075BEFE9" w:rsidR="002649F3" w:rsidRPr="001B45E4" w:rsidRDefault="002649F3" w:rsidP="00D73661">
            <w:pPr>
              <w:pStyle w:val="Tabletext"/>
              <w:jc w:val="right"/>
              <w:rPr>
                <w:b/>
              </w:rPr>
            </w:pPr>
            <w:r>
              <w:rPr>
                <w:b/>
              </w:rPr>
              <w:t>(0.8)</w:t>
            </w:r>
          </w:p>
        </w:tc>
        <w:tc>
          <w:tcPr>
            <w:tcW w:w="1074" w:type="dxa"/>
            <w:vAlign w:val="bottom"/>
          </w:tcPr>
          <w:p w14:paraId="42F7D2B6" w14:textId="63989EA9" w:rsidR="002649F3" w:rsidRPr="00D73661" w:rsidRDefault="002649F3" w:rsidP="00D73661">
            <w:pPr>
              <w:pStyle w:val="Tabletext"/>
              <w:jc w:val="right"/>
            </w:pPr>
            <w:r w:rsidRPr="00D73661">
              <w:t>(805.0)</w:t>
            </w:r>
          </w:p>
        </w:tc>
      </w:tr>
      <w:tr w:rsidR="002649F3" w:rsidRPr="00716EDB" w14:paraId="6B45E6EE" w14:textId="77777777" w:rsidTr="00A868F4">
        <w:trPr>
          <w:gridAfter w:val="1"/>
          <w:wAfter w:w="36" w:type="dxa"/>
        </w:trPr>
        <w:tc>
          <w:tcPr>
            <w:tcW w:w="6084" w:type="dxa"/>
          </w:tcPr>
          <w:p w14:paraId="27473ECE" w14:textId="77777777" w:rsidR="002649F3" w:rsidRPr="00D73661" w:rsidRDefault="002649F3" w:rsidP="00F25867">
            <w:pPr>
              <w:pStyle w:val="Tabletext"/>
              <w:rPr>
                <w:lang w:eastAsia="nl-NL"/>
              </w:rPr>
            </w:pPr>
            <w:r w:rsidRPr="00D73661">
              <w:rPr>
                <w:lang w:val="en-US" w:eastAsia="nl-NL"/>
              </w:rPr>
              <w:t>Proceeds from drawdown of long–term borrowing</w:t>
            </w:r>
          </w:p>
        </w:tc>
        <w:tc>
          <w:tcPr>
            <w:tcW w:w="738" w:type="dxa"/>
            <w:vAlign w:val="bottom"/>
          </w:tcPr>
          <w:p w14:paraId="734130A9" w14:textId="77777777" w:rsidR="002649F3" w:rsidRPr="00D73661" w:rsidRDefault="002649F3" w:rsidP="00F25867">
            <w:pPr>
              <w:pStyle w:val="Tabletext"/>
              <w:jc w:val="right"/>
            </w:pPr>
          </w:p>
        </w:tc>
        <w:tc>
          <w:tcPr>
            <w:tcW w:w="1140" w:type="dxa"/>
            <w:gridSpan w:val="2"/>
            <w:shd w:val="clear" w:color="auto" w:fill="EFF4F5"/>
            <w:vAlign w:val="bottom"/>
          </w:tcPr>
          <w:p w14:paraId="26F4BCB5" w14:textId="6D0F7876" w:rsidR="002649F3" w:rsidRPr="001B45E4" w:rsidRDefault="002649F3" w:rsidP="007D31B0">
            <w:pPr>
              <w:pStyle w:val="Tabletext"/>
              <w:jc w:val="right"/>
              <w:rPr>
                <w:b/>
              </w:rPr>
            </w:pPr>
            <w:r w:rsidRPr="002649F3">
              <w:rPr>
                <w:b/>
              </w:rPr>
              <w:t>–</w:t>
            </w:r>
          </w:p>
        </w:tc>
        <w:tc>
          <w:tcPr>
            <w:tcW w:w="1074" w:type="dxa"/>
            <w:vAlign w:val="bottom"/>
          </w:tcPr>
          <w:p w14:paraId="15F8223B" w14:textId="6552A880" w:rsidR="002649F3" w:rsidRPr="00D73661" w:rsidRDefault="002649F3" w:rsidP="00F25867">
            <w:pPr>
              <w:pStyle w:val="Tabletext"/>
              <w:jc w:val="right"/>
            </w:pPr>
            <w:r w:rsidRPr="00D73661">
              <w:t>4</w:t>
            </w:r>
            <w:r>
              <w:t>65</w:t>
            </w:r>
            <w:r w:rsidRPr="00D73661">
              <w:t>.</w:t>
            </w:r>
            <w:r>
              <w:t>0</w:t>
            </w:r>
          </w:p>
        </w:tc>
      </w:tr>
      <w:tr w:rsidR="002649F3" w:rsidRPr="00716EDB" w14:paraId="1E06E841" w14:textId="77777777" w:rsidTr="00A868F4">
        <w:trPr>
          <w:gridAfter w:val="1"/>
          <w:wAfter w:w="36" w:type="dxa"/>
        </w:trPr>
        <w:tc>
          <w:tcPr>
            <w:tcW w:w="6084" w:type="dxa"/>
          </w:tcPr>
          <w:p w14:paraId="511AE243" w14:textId="0ADE8F45" w:rsidR="002649F3" w:rsidRDefault="002649F3" w:rsidP="00D73661">
            <w:pPr>
              <w:pStyle w:val="Tabletext"/>
              <w:rPr>
                <w:lang w:val="en-US" w:eastAsia="nl-NL"/>
              </w:rPr>
            </w:pPr>
            <w:r>
              <w:rPr>
                <w:lang w:val="en-US" w:eastAsia="nl-NL"/>
              </w:rPr>
              <w:t>Debt issuance costs</w:t>
            </w:r>
          </w:p>
        </w:tc>
        <w:tc>
          <w:tcPr>
            <w:tcW w:w="738" w:type="dxa"/>
            <w:vAlign w:val="bottom"/>
          </w:tcPr>
          <w:p w14:paraId="0F670048" w14:textId="77777777" w:rsidR="002649F3" w:rsidRPr="00D73661" w:rsidRDefault="002649F3" w:rsidP="00D73661">
            <w:pPr>
              <w:pStyle w:val="Tabletext"/>
              <w:jc w:val="right"/>
            </w:pPr>
          </w:p>
        </w:tc>
        <w:tc>
          <w:tcPr>
            <w:tcW w:w="1140" w:type="dxa"/>
            <w:gridSpan w:val="2"/>
            <w:shd w:val="clear" w:color="auto" w:fill="EFF4F5"/>
            <w:vAlign w:val="bottom"/>
          </w:tcPr>
          <w:p w14:paraId="7D8278C2" w14:textId="058D3743" w:rsidR="002649F3" w:rsidRPr="001B45E4" w:rsidRDefault="002649F3" w:rsidP="007D31B0">
            <w:pPr>
              <w:pStyle w:val="Tabletext"/>
              <w:jc w:val="right"/>
              <w:rPr>
                <w:b/>
              </w:rPr>
            </w:pPr>
            <w:r w:rsidRPr="002649F3">
              <w:rPr>
                <w:b/>
              </w:rPr>
              <w:t>–</w:t>
            </w:r>
          </w:p>
        </w:tc>
        <w:tc>
          <w:tcPr>
            <w:tcW w:w="1074" w:type="dxa"/>
            <w:vAlign w:val="bottom"/>
          </w:tcPr>
          <w:p w14:paraId="115FA9EF" w14:textId="0DECDE9B" w:rsidR="002649F3" w:rsidRDefault="002649F3" w:rsidP="007D31B0">
            <w:pPr>
              <w:pStyle w:val="Tabletext"/>
              <w:jc w:val="right"/>
            </w:pPr>
            <w:r>
              <w:t>(</w:t>
            </w:r>
            <w:r w:rsidRPr="00D73661">
              <w:t>5.</w:t>
            </w:r>
            <w:r>
              <w:t>6)</w:t>
            </w:r>
          </w:p>
        </w:tc>
      </w:tr>
      <w:tr w:rsidR="002649F3" w:rsidRPr="00716EDB" w14:paraId="200A9AC4" w14:textId="77777777" w:rsidTr="00A868F4">
        <w:trPr>
          <w:gridAfter w:val="1"/>
          <w:wAfter w:w="36" w:type="dxa"/>
        </w:trPr>
        <w:tc>
          <w:tcPr>
            <w:tcW w:w="6084" w:type="dxa"/>
          </w:tcPr>
          <w:p w14:paraId="6C47B11D" w14:textId="7C2F3645" w:rsidR="002649F3" w:rsidRDefault="002649F3" w:rsidP="00D73661">
            <w:pPr>
              <w:pStyle w:val="Tabletext"/>
              <w:rPr>
                <w:lang w:val="en-US" w:eastAsia="nl-NL"/>
              </w:rPr>
            </w:pPr>
            <w:r>
              <w:rPr>
                <w:lang w:val="en-US" w:eastAsia="nl-NL"/>
              </w:rPr>
              <w:t>Purchase of treasury shares</w:t>
            </w:r>
          </w:p>
        </w:tc>
        <w:tc>
          <w:tcPr>
            <w:tcW w:w="738" w:type="dxa"/>
            <w:vAlign w:val="bottom"/>
          </w:tcPr>
          <w:p w14:paraId="156283CD" w14:textId="77777777" w:rsidR="002649F3" w:rsidRPr="00D73661" w:rsidRDefault="002649F3" w:rsidP="00D73661">
            <w:pPr>
              <w:pStyle w:val="Tabletext"/>
              <w:jc w:val="right"/>
            </w:pPr>
          </w:p>
        </w:tc>
        <w:tc>
          <w:tcPr>
            <w:tcW w:w="1140" w:type="dxa"/>
            <w:gridSpan w:val="2"/>
            <w:shd w:val="clear" w:color="auto" w:fill="EFF4F5"/>
            <w:vAlign w:val="bottom"/>
          </w:tcPr>
          <w:p w14:paraId="7F6706FE" w14:textId="158DCA80" w:rsidR="002649F3" w:rsidRPr="001B45E4" w:rsidRDefault="002649F3" w:rsidP="007D31B0">
            <w:pPr>
              <w:pStyle w:val="Tabletext"/>
              <w:jc w:val="right"/>
              <w:rPr>
                <w:b/>
              </w:rPr>
            </w:pPr>
            <w:r>
              <w:rPr>
                <w:b/>
              </w:rPr>
              <w:t>(5.6)</w:t>
            </w:r>
          </w:p>
        </w:tc>
        <w:tc>
          <w:tcPr>
            <w:tcW w:w="1074" w:type="dxa"/>
            <w:vAlign w:val="bottom"/>
          </w:tcPr>
          <w:p w14:paraId="2E842EF8" w14:textId="210DC89F" w:rsidR="002649F3" w:rsidRDefault="002649F3" w:rsidP="007D31B0">
            <w:pPr>
              <w:pStyle w:val="Tabletext"/>
              <w:jc w:val="right"/>
            </w:pPr>
            <w:r w:rsidRPr="00D73661">
              <w:t>–</w:t>
            </w:r>
          </w:p>
        </w:tc>
      </w:tr>
      <w:tr w:rsidR="002649F3" w:rsidRPr="00716EDB" w14:paraId="54E5C547" w14:textId="77777777" w:rsidTr="00A868F4">
        <w:trPr>
          <w:gridAfter w:val="1"/>
          <w:wAfter w:w="36" w:type="dxa"/>
        </w:trPr>
        <w:tc>
          <w:tcPr>
            <w:tcW w:w="6084" w:type="dxa"/>
            <w:tcBorders>
              <w:bottom w:val="single" w:sz="4" w:space="0" w:color="93B7BB"/>
            </w:tcBorders>
          </w:tcPr>
          <w:p w14:paraId="73B92CD2" w14:textId="51CA44A3" w:rsidR="002649F3" w:rsidRPr="00D73661" w:rsidRDefault="002649F3" w:rsidP="00A868F4">
            <w:pPr>
              <w:pStyle w:val="Tabletext"/>
              <w:rPr>
                <w:lang w:eastAsia="nl-NL"/>
              </w:rPr>
            </w:pPr>
            <w:r>
              <w:rPr>
                <w:lang w:val="en-US" w:eastAsia="nl-NL"/>
              </w:rPr>
              <w:t>Dividend paid to equity holders of the Parent</w:t>
            </w:r>
          </w:p>
        </w:tc>
        <w:tc>
          <w:tcPr>
            <w:tcW w:w="738" w:type="dxa"/>
            <w:tcBorders>
              <w:bottom w:val="single" w:sz="4" w:space="0" w:color="93B7BB"/>
            </w:tcBorders>
            <w:vAlign w:val="bottom"/>
          </w:tcPr>
          <w:p w14:paraId="21F977F1" w14:textId="77777777" w:rsidR="002649F3" w:rsidRPr="00D73661" w:rsidRDefault="002649F3" w:rsidP="00D73661">
            <w:pPr>
              <w:pStyle w:val="Tabletext"/>
              <w:jc w:val="right"/>
            </w:pPr>
          </w:p>
        </w:tc>
        <w:tc>
          <w:tcPr>
            <w:tcW w:w="1140" w:type="dxa"/>
            <w:gridSpan w:val="2"/>
            <w:tcBorders>
              <w:bottom w:val="single" w:sz="4" w:space="0" w:color="93B7BB"/>
            </w:tcBorders>
            <w:shd w:val="clear" w:color="auto" w:fill="EFF4F5"/>
            <w:vAlign w:val="bottom"/>
          </w:tcPr>
          <w:p w14:paraId="7A7B1191" w14:textId="0565942C" w:rsidR="002649F3" w:rsidRPr="001B45E4" w:rsidRDefault="002649F3" w:rsidP="007D31B0">
            <w:pPr>
              <w:pStyle w:val="Tabletext"/>
              <w:jc w:val="right"/>
              <w:rPr>
                <w:b/>
              </w:rPr>
            </w:pPr>
            <w:r>
              <w:rPr>
                <w:b/>
              </w:rPr>
              <w:t>(12.4)</w:t>
            </w:r>
          </w:p>
        </w:tc>
        <w:tc>
          <w:tcPr>
            <w:tcW w:w="1074" w:type="dxa"/>
            <w:tcBorders>
              <w:bottom w:val="single" w:sz="4" w:space="0" w:color="93B7BB"/>
            </w:tcBorders>
            <w:vAlign w:val="bottom"/>
          </w:tcPr>
          <w:p w14:paraId="5E5DF0A5" w14:textId="07533FB6" w:rsidR="002649F3" w:rsidRPr="00D73661" w:rsidRDefault="002649F3" w:rsidP="00A868F4">
            <w:pPr>
              <w:pStyle w:val="Tabletext"/>
              <w:jc w:val="right"/>
            </w:pPr>
            <w:r w:rsidRPr="00D73661">
              <w:t>–</w:t>
            </w:r>
          </w:p>
        </w:tc>
      </w:tr>
      <w:tr w:rsidR="002649F3" w:rsidRPr="00716EDB" w14:paraId="33C64F5E" w14:textId="77777777" w:rsidTr="007D31B0">
        <w:trPr>
          <w:gridAfter w:val="1"/>
          <w:wAfter w:w="36" w:type="dxa"/>
        </w:trPr>
        <w:tc>
          <w:tcPr>
            <w:tcW w:w="6084" w:type="dxa"/>
            <w:tcBorders>
              <w:top w:val="single" w:sz="4" w:space="0" w:color="93B7BB"/>
              <w:bottom w:val="single" w:sz="4" w:space="0" w:color="93B7BB"/>
            </w:tcBorders>
          </w:tcPr>
          <w:p w14:paraId="0DCE1EBF" w14:textId="77777777" w:rsidR="002649F3" w:rsidRPr="00D73661" w:rsidRDefault="002649F3" w:rsidP="00D73661">
            <w:pPr>
              <w:pStyle w:val="Tabletext"/>
              <w:rPr>
                <w:b/>
                <w:lang w:eastAsia="nl-NL"/>
              </w:rPr>
            </w:pPr>
            <w:r w:rsidRPr="00D73661">
              <w:rPr>
                <w:b/>
                <w:lang w:val="en-US" w:eastAsia="nl-NL"/>
              </w:rPr>
              <w:t>Net cash used in financing activities</w:t>
            </w:r>
          </w:p>
        </w:tc>
        <w:tc>
          <w:tcPr>
            <w:tcW w:w="738" w:type="dxa"/>
            <w:tcBorders>
              <w:top w:val="single" w:sz="4" w:space="0" w:color="93B7BB"/>
              <w:bottom w:val="single" w:sz="4" w:space="0" w:color="93B7BB"/>
            </w:tcBorders>
            <w:vAlign w:val="bottom"/>
          </w:tcPr>
          <w:p w14:paraId="377E32B8" w14:textId="77777777" w:rsidR="002649F3" w:rsidRPr="00D73661" w:rsidRDefault="002649F3" w:rsidP="00D73661">
            <w:pPr>
              <w:pStyle w:val="Tabletext"/>
              <w:jc w:val="right"/>
            </w:pPr>
          </w:p>
        </w:tc>
        <w:tc>
          <w:tcPr>
            <w:tcW w:w="1140" w:type="dxa"/>
            <w:gridSpan w:val="2"/>
            <w:tcBorders>
              <w:top w:val="single" w:sz="4" w:space="0" w:color="93B7BB"/>
              <w:bottom w:val="single" w:sz="4" w:space="0" w:color="93B7BB"/>
            </w:tcBorders>
            <w:shd w:val="clear" w:color="auto" w:fill="EFF4F5"/>
            <w:vAlign w:val="bottom"/>
          </w:tcPr>
          <w:p w14:paraId="7F6C928F" w14:textId="754DB347" w:rsidR="002649F3" w:rsidRPr="001B45E4" w:rsidRDefault="002649F3" w:rsidP="00D73661">
            <w:pPr>
              <w:pStyle w:val="Tabletext"/>
              <w:jc w:val="right"/>
              <w:rPr>
                <w:b/>
              </w:rPr>
            </w:pPr>
            <w:r>
              <w:rPr>
                <w:b/>
              </w:rPr>
              <w:t>(41.3)</w:t>
            </w:r>
          </w:p>
        </w:tc>
        <w:tc>
          <w:tcPr>
            <w:tcW w:w="1074" w:type="dxa"/>
            <w:tcBorders>
              <w:top w:val="single" w:sz="4" w:space="0" w:color="93B7BB"/>
              <w:bottom w:val="single" w:sz="4" w:space="0" w:color="93B7BB"/>
            </w:tcBorders>
            <w:vAlign w:val="bottom"/>
          </w:tcPr>
          <w:p w14:paraId="033F705D" w14:textId="65B82DDA" w:rsidR="002649F3" w:rsidRPr="00D73661" w:rsidRDefault="002649F3" w:rsidP="00D73661">
            <w:pPr>
              <w:pStyle w:val="Tabletext"/>
              <w:jc w:val="right"/>
            </w:pPr>
            <w:r w:rsidRPr="00D73661">
              <w:t>(80.0)</w:t>
            </w:r>
          </w:p>
        </w:tc>
      </w:tr>
      <w:tr w:rsidR="002649F3" w:rsidRPr="00716EDB" w14:paraId="4B67B504" w14:textId="77777777" w:rsidTr="007D31B0">
        <w:trPr>
          <w:gridAfter w:val="1"/>
          <w:wAfter w:w="36" w:type="dxa"/>
        </w:trPr>
        <w:tc>
          <w:tcPr>
            <w:tcW w:w="6084" w:type="dxa"/>
            <w:tcBorders>
              <w:top w:val="single" w:sz="4" w:space="0" w:color="93B7BB"/>
            </w:tcBorders>
          </w:tcPr>
          <w:p w14:paraId="59DF89BD" w14:textId="4C15DD1A" w:rsidR="002649F3" w:rsidRPr="00D73661" w:rsidRDefault="002649F3" w:rsidP="00D73661">
            <w:pPr>
              <w:pStyle w:val="Tabletext"/>
              <w:rPr>
                <w:lang w:eastAsia="nl-NL"/>
              </w:rPr>
            </w:pPr>
            <w:r w:rsidRPr="00D73661">
              <w:rPr>
                <w:lang w:val="en-US" w:eastAsia="nl-NL"/>
              </w:rPr>
              <w:t xml:space="preserve">Net </w:t>
            </w:r>
            <w:r>
              <w:rPr>
                <w:lang w:val="en-US" w:eastAsia="nl-NL"/>
              </w:rPr>
              <w:t>increase/(</w:t>
            </w:r>
            <w:r w:rsidRPr="00D73661">
              <w:rPr>
                <w:lang w:val="en-US" w:eastAsia="nl-NL"/>
              </w:rPr>
              <w:t>decrease</w:t>
            </w:r>
            <w:r>
              <w:rPr>
                <w:lang w:val="en-US" w:eastAsia="nl-NL"/>
              </w:rPr>
              <w:t>)</w:t>
            </w:r>
            <w:r w:rsidRPr="00D73661">
              <w:rPr>
                <w:lang w:val="en-US" w:eastAsia="nl-NL"/>
              </w:rPr>
              <w:t xml:space="preserve"> in cash and cash equivalents</w:t>
            </w:r>
          </w:p>
        </w:tc>
        <w:tc>
          <w:tcPr>
            <w:tcW w:w="738" w:type="dxa"/>
            <w:tcBorders>
              <w:top w:val="single" w:sz="4" w:space="0" w:color="93B7BB"/>
            </w:tcBorders>
            <w:vAlign w:val="bottom"/>
          </w:tcPr>
          <w:p w14:paraId="6FB3F82A" w14:textId="77777777" w:rsidR="002649F3" w:rsidRPr="00D73661" w:rsidRDefault="002649F3" w:rsidP="00D73661">
            <w:pPr>
              <w:pStyle w:val="Tabletext"/>
              <w:jc w:val="right"/>
            </w:pPr>
          </w:p>
        </w:tc>
        <w:tc>
          <w:tcPr>
            <w:tcW w:w="1140" w:type="dxa"/>
            <w:gridSpan w:val="2"/>
            <w:tcBorders>
              <w:top w:val="single" w:sz="4" w:space="0" w:color="93B7BB"/>
            </w:tcBorders>
            <w:shd w:val="clear" w:color="auto" w:fill="EFF4F5"/>
            <w:vAlign w:val="bottom"/>
          </w:tcPr>
          <w:p w14:paraId="664461A9" w14:textId="40E3A24E" w:rsidR="002649F3" w:rsidRPr="001B45E4" w:rsidRDefault="002649F3" w:rsidP="00D73661">
            <w:pPr>
              <w:pStyle w:val="Tabletext"/>
              <w:jc w:val="right"/>
              <w:rPr>
                <w:b/>
              </w:rPr>
            </w:pPr>
            <w:r>
              <w:rPr>
                <w:b/>
              </w:rPr>
              <w:t>4.4</w:t>
            </w:r>
          </w:p>
        </w:tc>
        <w:tc>
          <w:tcPr>
            <w:tcW w:w="1074" w:type="dxa"/>
            <w:tcBorders>
              <w:top w:val="single" w:sz="4" w:space="0" w:color="93B7BB"/>
            </w:tcBorders>
            <w:vAlign w:val="bottom"/>
          </w:tcPr>
          <w:p w14:paraId="68637AB7" w14:textId="27BC3ED6" w:rsidR="002649F3" w:rsidRPr="00D73661" w:rsidRDefault="002649F3" w:rsidP="00D73661">
            <w:pPr>
              <w:pStyle w:val="Tabletext"/>
              <w:jc w:val="right"/>
            </w:pPr>
            <w:r w:rsidRPr="00D73661">
              <w:t>(37.0)</w:t>
            </w:r>
          </w:p>
        </w:tc>
      </w:tr>
      <w:tr w:rsidR="002649F3" w:rsidRPr="00716EDB" w14:paraId="6ADA4A15" w14:textId="77777777" w:rsidTr="007D31B0">
        <w:trPr>
          <w:gridAfter w:val="1"/>
          <w:wAfter w:w="36" w:type="dxa"/>
        </w:trPr>
        <w:tc>
          <w:tcPr>
            <w:tcW w:w="6084" w:type="dxa"/>
            <w:tcBorders>
              <w:bottom w:val="single" w:sz="4" w:space="0" w:color="93B7BB"/>
            </w:tcBorders>
          </w:tcPr>
          <w:p w14:paraId="649841ED" w14:textId="77777777" w:rsidR="002649F3" w:rsidRPr="00D73661" w:rsidRDefault="002649F3" w:rsidP="00D73661">
            <w:pPr>
              <w:pStyle w:val="Tabletext"/>
              <w:rPr>
                <w:lang w:eastAsia="nl-NL"/>
              </w:rPr>
            </w:pPr>
            <w:r w:rsidRPr="00D73661">
              <w:rPr>
                <w:lang w:val="en-US" w:eastAsia="nl-NL"/>
              </w:rPr>
              <w:t>Cash and cash equivalents at beginning of year</w:t>
            </w:r>
          </w:p>
        </w:tc>
        <w:tc>
          <w:tcPr>
            <w:tcW w:w="738" w:type="dxa"/>
            <w:tcBorders>
              <w:bottom w:val="single" w:sz="4" w:space="0" w:color="93B7BB"/>
            </w:tcBorders>
            <w:vAlign w:val="bottom"/>
          </w:tcPr>
          <w:p w14:paraId="40261B62" w14:textId="77777777" w:rsidR="002649F3" w:rsidRPr="00D73661" w:rsidRDefault="002649F3" w:rsidP="00D73661">
            <w:pPr>
              <w:pStyle w:val="Tabletext"/>
              <w:jc w:val="right"/>
            </w:pPr>
          </w:p>
        </w:tc>
        <w:tc>
          <w:tcPr>
            <w:tcW w:w="1140" w:type="dxa"/>
            <w:gridSpan w:val="2"/>
            <w:tcBorders>
              <w:bottom w:val="single" w:sz="4" w:space="0" w:color="93B7BB"/>
            </w:tcBorders>
            <w:shd w:val="clear" w:color="auto" w:fill="EFF4F5"/>
            <w:vAlign w:val="bottom"/>
          </w:tcPr>
          <w:p w14:paraId="10F542DD" w14:textId="7DCFFB18" w:rsidR="002649F3" w:rsidRPr="001B45E4" w:rsidRDefault="002649F3" w:rsidP="00D73661">
            <w:pPr>
              <w:pStyle w:val="Tabletext"/>
              <w:jc w:val="right"/>
              <w:rPr>
                <w:b/>
              </w:rPr>
            </w:pPr>
            <w:r>
              <w:rPr>
                <w:b/>
              </w:rPr>
              <w:t>74.5</w:t>
            </w:r>
          </w:p>
        </w:tc>
        <w:tc>
          <w:tcPr>
            <w:tcW w:w="1074" w:type="dxa"/>
            <w:tcBorders>
              <w:bottom w:val="single" w:sz="4" w:space="0" w:color="93B7BB"/>
            </w:tcBorders>
            <w:vAlign w:val="bottom"/>
          </w:tcPr>
          <w:p w14:paraId="2C12DDF8" w14:textId="139E762B" w:rsidR="002649F3" w:rsidRPr="00D73661" w:rsidRDefault="002649F3" w:rsidP="00D73661">
            <w:pPr>
              <w:pStyle w:val="Tabletext"/>
              <w:jc w:val="right"/>
            </w:pPr>
            <w:r w:rsidRPr="00D73661">
              <w:t>111.5</w:t>
            </w:r>
          </w:p>
        </w:tc>
      </w:tr>
      <w:tr w:rsidR="002649F3" w:rsidRPr="00716EDB" w14:paraId="5438C3D2" w14:textId="77777777" w:rsidTr="007D31B0">
        <w:trPr>
          <w:gridAfter w:val="1"/>
          <w:wAfter w:w="36" w:type="dxa"/>
        </w:trPr>
        <w:tc>
          <w:tcPr>
            <w:tcW w:w="6084" w:type="dxa"/>
            <w:tcBorders>
              <w:top w:val="single" w:sz="4" w:space="0" w:color="93B7BB"/>
              <w:bottom w:val="single" w:sz="4" w:space="0" w:color="93B7BB"/>
            </w:tcBorders>
          </w:tcPr>
          <w:p w14:paraId="53590369" w14:textId="77777777" w:rsidR="002649F3" w:rsidRPr="00D73661" w:rsidRDefault="002649F3" w:rsidP="00D73661">
            <w:pPr>
              <w:pStyle w:val="Tabletext"/>
              <w:rPr>
                <w:b/>
              </w:rPr>
            </w:pPr>
            <w:r w:rsidRPr="00D73661">
              <w:rPr>
                <w:b/>
                <w:lang w:val="en-US" w:eastAsia="nl-NL"/>
              </w:rPr>
              <w:t>Cash and cash equivalents at end of year</w:t>
            </w:r>
          </w:p>
        </w:tc>
        <w:tc>
          <w:tcPr>
            <w:tcW w:w="738" w:type="dxa"/>
            <w:tcBorders>
              <w:top w:val="single" w:sz="4" w:space="0" w:color="93B7BB"/>
              <w:bottom w:val="single" w:sz="4" w:space="0" w:color="93B7BB"/>
            </w:tcBorders>
            <w:vAlign w:val="bottom"/>
          </w:tcPr>
          <w:p w14:paraId="18E4AFAF" w14:textId="77777777" w:rsidR="002649F3" w:rsidRPr="00D73661" w:rsidRDefault="002649F3" w:rsidP="00D73661">
            <w:pPr>
              <w:pStyle w:val="Tabletext"/>
              <w:jc w:val="right"/>
            </w:pPr>
          </w:p>
        </w:tc>
        <w:tc>
          <w:tcPr>
            <w:tcW w:w="1140" w:type="dxa"/>
            <w:gridSpan w:val="2"/>
            <w:tcBorders>
              <w:top w:val="single" w:sz="4" w:space="0" w:color="93B7BB"/>
              <w:bottom w:val="single" w:sz="4" w:space="0" w:color="93B7BB"/>
            </w:tcBorders>
            <w:shd w:val="clear" w:color="auto" w:fill="EFF4F5"/>
            <w:vAlign w:val="bottom"/>
          </w:tcPr>
          <w:p w14:paraId="18348C91" w14:textId="2EE0C0F4" w:rsidR="002649F3" w:rsidRPr="001B45E4" w:rsidRDefault="002649F3" w:rsidP="00D73661">
            <w:pPr>
              <w:pStyle w:val="Tabletext"/>
              <w:jc w:val="right"/>
              <w:rPr>
                <w:b/>
              </w:rPr>
            </w:pPr>
            <w:r>
              <w:rPr>
                <w:b/>
              </w:rPr>
              <w:t>78.9</w:t>
            </w:r>
          </w:p>
        </w:tc>
        <w:tc>
          <w:tcPr>
            <w:tcW w:w="1074" w:type="dxa"/>
            <w:tcBorders>
              <w:top w:val="single" w:sz="4" w:space="0" w:color="93B7BB"/>
              <w:bottom w:val="single" w:sz="4" w:space="0" w:color="93B7BB"/>
            </w:tcBorders>
            <w:vAlign w:val="bottom"/>
          </w:tcPr>
          <w:p w14:paraId="33014ECC" w14:textId="35C9B63D" w:rsidR="002649F3" w:rsidRPr="00D73661" w:rsidRDefault="002649F3" w:rsidP="00D73661">
            <w:pPr>
              <w:pStyle w:val="Tabletext"/>
              <w:jc w:val="right"/>
            </w:pPr>
            <w:r w:rsidRPr="00D73661">
              <w:t>74.5</w:t>
            </w:r>
          </w:p>
        </w:tc>
      </w:tr>
    </w:tbl>
    <w:p w14:paraId="1546C9C5" w14:textId="77777777" w:rsidR="00725EE9" w:rsidRPr="00E5657A" w:rsidRDefault="00725EE9" w:rsidP="00E5657A">
      <w:pPr>
        <w:spacing w:after="0" w:line="240" w:lineRule="auto"/>
        <w:rPr>
          <w:sz w:val="8"/>
          <w:szCs w:val="8"/>
        </w:rPr>
      </w:pPr>
    </w:p>
    <w:tbl>
      <w:tblPr>
        <w:tblW w:w="9072" w:type="dxa"/>
        <w:tblLayout w:type="fixed"/>
        <w:tblCellMar>
          <w:left w:w="0" w:type="dxa"/>
          <w:right w:w="57" w:type="dxa"/>
        </w:tblCellMar>
        <w:tblLook w:val="0000" w:firstRow="0" w:lastRow="0" w:firstColumn="0" w:lastColumn="0" w:noHBand="0" w:noVBand="0"/>
      </w:tblPr>
      <w:tblGrid>
        <w:gridCol w:w="6108"/>
        <w:gridCol w:w="741"/>
        <w:gridCol w:w="1145"/>
        <w:gridCol w:w="1078"/>
      </w:tblGrid>
      <w:tr w:rsidR="00E5657A" w:rsidRPr="00716EDB" w14:paraId="45A444E1" w14:textId="77777777" w:rsidTr="00C0708A">
        <w:tc>
          <w:tcPr>
            <w:tcW w:w="6084" w:type="dxa"/>
          </w:tcPr>
          <w:p w14:paraId="574E66DA" w14:textId="77777777" w:rsidR="00E5657A" w:rsidRPr="00D73661" w:rsidRDefault="00E5657A" w:rsidP="00C0708A">
            <w:pPr>
              <w:pStyle w:val="Tabletext"/>
              <w:rPr>
                <w:b/>
                <w:lang w:val="en-US" w:eastAsia="nl-NL"/>
              </w:rPr>
            </w:pPr>
            <w:r w:rsidRPr="00D73661">
              <w:rPr>
                <w:b/>
                <w:lang w:val="en-US" w:eastAsia="nl-NL"/>
              </w:rPr>
              <w:t>Exceptional costs</w:t>
            </w:r>
          </w:p>
        </w:tc>
        <w:tc>
          <w:tcPr>
            <w:tcW w:w="738" w:type="dxa"/>
            <w:vAlign w:val="bottom"/>
          </w:tcPr>
          <w:p w14:paraId="75CCAB75" w14:textId="77777777" w:rsidR="00E5657A" w:rsidRPr="00D73661" w:rsidRDefault="00E5657A" w:rsidP="00C0708A">
            <w:pPr>
              <w:pStyle w:val="Tabletext"/>
              <w:jc w:val="right"/>
              <w:rPr>
                <w:i/>
              </w:rPr>
            </w:pPr>
          </w:p>
        </w:tc>
        <w:tc>
          <w:tcPr>
            <w:tcW w:w="1140" w:type="dxa"/>
            <w:shd w:val="clear" w:color="auto" w:fill="EFF4F5"/>
            <w:vAlign w:val="bottom"/>
          </w:tcPr>
          <w:p w14:paraId="47DAA7C8" w14:textId="77777777" w:rsidR="00E5657A" w:rsidRPr="001B45E4" w:rsidRDefault="00E5657A" w:rsidP="00C0708A">
            <w:pPr>
              <w:pStyle w:val="Tabletext"/>
              <w:jc w:val="right"/>
              <w:rPr>
                <w:b/>
              </w:rPr>
            </w:pPr>
          </w:p>
        </w:tc>
        <w:tc>
          <w:tcPr>
            <w:tcW w:w="1074" w:type="dxa"/>
            <w:vAlign w:val="bottom"/>
          </w:tcPr>
          <w:p w14:paraId="2A637C4C" w14:textId="77777777" w:rsidR="00E5657A" w:rsidRPr="00D73661" w:rsidRDefault="00E5657A" w:rsidP="00C0708A">
            <w:pPr>
              <w:pStyle w:val="Tabletext"/>
              <w:jc w:val="right"/>
            </w:pPr>
          </w:p>
        </w:tc>
      </w:tr>
      <w:tr w:rsidR="00E5657A" w:rsidRPr="00716EDB" w14:paraId="5B30772D" w14:textId="77777777" w:rsidTr="00C0708A">
        <w:tc>
          <w:tcPr>
            <w:tcW w:w="6084" w:type="dxa"/>
          </w:tcPr>
          <w:p w14:paraId="49F33A56" w14:textId="77777777" w:rsidR="00E5657A" w:rsidRPr="00D73661" w:rsidRDefault="00E5657A" w:rsidP="00C0708A">
            <w:pPr>
              <w:pStyle w:val="Tabletext"/>
              <w:rPr>
                <w:lang w:eastAsia="nl-NL"/>
              </w:rPr>
            </w:pPr>
            <w:r w:rsidRPr="00D73661">
              <w:rPr>
                <w:lang w:val="en-US" w:eastAsia="nl-NL"/>
              </w:rPr>
              <w:t xml:space="preserve">Exceptional costs </w:t>
            </w:r>
            <w:r>
              <w:rPr>
                <w:lang w:val="en-US" w:eastAsia="nl-NL"/>
              </w:rPr>
              <w:t xml:space="preserve">paid </w:t>
            </w:r>
            <w:r w:rsidRPr="00D73661">
              <w:rPr>
                <w:lang w:val="en-US" w:eastAsia="nl-NL"/>
              </w:rPr>
              <w:t>included in the cash flow from operating activities</w:t>
            </w:r>
          </w:p>
        </w:tc>
        <w:tc>
          <w:tcPr>
            <w:tcW w:w="738" w:type="dxa"/>
            <w:vAlign w:val="bottom"/>
          </w:tcPr>
          <w:p w14:paraId="1311E3D7" w14:textId="77777777" w:rsidR="00E5657A" w:rsidRPr="00D73661" w:rsidRDefault="00E5657A" w:rsidP="00C0708A">
            <w:pPr>
              <w:pStyle w:val="Tabletext"/>
              <w:jc w:val="right"/>
            </w:pPr>
          </w:p>
        </w:tc>
        <w:tc>
          <w:tcPr>
            <w:tcW w:w="1140" w:type="dxa"/>
            <w:shd w:val="clear" w:color="auto" w:fill="EFF4F5"/>
            <w:vAlign w:val="bottom"/>
          </w:tcPr>
          <w:p w14:paraId="305E667B" w14:textId="77777777" w:rsidR="00E5657A" w:rsidRPr="00EC5378" w:rsidRDefault="00E5657A" w:rsidP="00C0708A">
            <w:pPr>
              <w:pStyle w:val="Tabletext"/>
              <w:jc w:val="right"/>
              <w:rPr>
                <w:b/>
              </w:rPr>
            </w:pPr>
            <w:r w:rsidRPr="00EC5378">
              <w:rPr>
                <w:b/>
              </w:rPr>
              <w:t>4.5</w:t>
            </w:r>
          </w:p>
        </w:tc>
        <w:tc>
          <w:tcPr>
            <w:tcW w:w="1074" w:type="dxa"/>
            <w:vAlign w:val="bottom"/>
          </w:tcPr>
          <w:p w14:paraId="308E3914" w14:textId="77777777" w:rsidR="00E5657A" w:rsidRPr="00D73661" w:rsidRDefault="00E5657A" w:rsidP="00C0708A">
            <w:pPr>
              <w:pStyle w:val="Tabletext"/>
              <w:jc w:val="right"/>
            </w:pPr>
            <w:r w:rsidRPr="00D73661">
              <w:t>51.2</w:t>
            </w:r>
          </w:p>
        </w:tc>
      </w:tr>
      <w:tr w:rsidR="00E5657A" w:rsidRPr="00716EDB" w14:paraId="470FC886" w14:textId="77777777" w:rsidTr="00C0708A">
        <w:tc>
          <w:tcPr>
            <w:tcW w:w="6084" w:type="dxa"/>
            <w:tcBorders>
              <w:bottom w:val="single" w:sz="4" w:space="0" w:color="93B7BB"/>
            </w:tcBorders>
          </w:tcPr>
          <w:p w14:paraId="6D58DB0D" w14:textId="77777777" w:rsidR="00E5657A" w:rsidRPr="00D73661" w:rsidRDefault="00E5657A" w:rsidP="00C0708A">
            <w:pPr>
              <w:pStyle w:val="Tabletext"/>
              <w:rPr>
                <w:lang w:val="en-US" w:eastAsia="nl-NL"/>
              </w:rPr>
            </w:pPr>
            <w:r w:rsidRPr="00D73661">
              <w:rPr>
                <w:lang w:val="en-US" w:eastAsia="nl-NL"/>
              </w:rPr>
              <w:t>Total exceptional costs</w:t>
            </w:r>
          </w:p>
        </w:tc>
        <w:tc>
          <w:tcPr>
            <w:tcW w:w="738" w:type="dxa"/>
            <w:tcBorders>
              <w:bottom w:val="single" w:sz="4" w:space="0" w:color="93B7BB"/>
            </w:tcBorders>
            <w:vAlign w:val="bottom"/>
          </w:tcPr>
          <w:p w14:paraId="04D87C89" w14:textId="77777777" w:rsidR="00E5657A" w:rsidRPr="00D73661" w:rsidRDefault="00E5657A" w:rsidP="00C0708A">
            <w:pPr>
              <w:pStyle w:val="Tabletext"/>
              <w:jc w:val="right"/>
            </w:pPr>
            <w:r>
              <w:t>7</w:t>
            </w:r>
          </w:p>
        </w:tc>
        <w:tc>
          <w:tcPr>
            <w:tcW w:w="1140" w:type="dxa"/>
            <w:tcBorders>
              <w:bottom w:val="single" w:sz="4" w:space="0" w:color="93B7BB"/>
            </w:tcBorders>
            <w:shd w:val="clear" w:color="auto" w:fill="EFF4F5"/>
            <w:vAlign w:val="bottom"/>
          </w:tcPr>
          <w:p w14:paraId="002E3C29" w14:textId="72E555EC" w:rsidR="00E5657A" w:rsidRPr="00EC5378" w:rsidRDefault="00EC5378" w:rsidP="00C0708A">
            <w:pPr>
              <w:pStyle w:val="Tabletext"/>
              <w:jc w:val="right"/>
              <w:rPr>
                <w:b/>
              </w:rPr>
            </w:pPr>
            <w:r w:rsidRPr="00EC5378">
              <w:rPr>
                <w:b/>
              </w:rPr>
              <w:t>15.7</w:t>
            </w:r>
          </w:p>
        </w:tc>
        <w:tc>
          <w:tcPr>
            <w:tcW w:w="1074" w:type="dxa"/>
            <w:tcBorders>
              <w:bottom w:val="single" w:sz="4" w:space="0" w:color="93B7BB"/>
            </w:tcBorders>
            <w:vAlign w:val="bottom"/>
          </w:tcPr>
          <w:p w14:paraId="08C6A0B4" w14:textId="77777777" w:rsidR="00E5657A" w:rsidRPr="00D73661" w:rsidRDefault="00E5657A" w:rsidP="00C0708A">
            <w:pPr>
              <w:pStyle w:val="Tabletext"/>
              <w:jc w:val="right"/>
            </w:pPr>
            <w:r w:rsidRPr="00D73661">
              <w:t>5</w:t>
            </w:r>
            <w:r>
              <w:t>4</w:t>
            </w:r>
            <w:r w:rsidRPr="00D73661">
              <w:t>.</w:t>
            </w:r>
            <w:r>
              <w:t>0</w:t>
            </w:r>
          </w:p>
        </w:tc>
      </w:tr>
    </w:tbl>
    <w:p w14:paraId="57B736C6" w14:textId="77777777" w:rsidR="00725EE9" w:rsidRPr="00716EDB" w:rsidRDefault="00364452" w:rsidP="00364452">
      <w:pPr>
        <w:pStyle w:val="Heading3"/>
      </w:pPr>
      <w:r>
        <w:lastRenderedPageBreak/>
        <w:t xml:space="preserve">1. </w:t>
      </w:r>
      <w:r w:rsidR="00725EE9" w:rsidRPr="00716EDB">
        <w:t>General information</w:t>
      </w:r>
    </w:p>
    <w:p w14:paraId="2ABD2A37" w14:textId="77777777" w:rsidR="00725EE9" w:rsidRPr="00716EDB" w:rsidRDefault="00725EE9" w:rsidP="000360D9">
      <w:pPr>
        <w:jc w:val="both"/>
      </w:pPr>
      <w:r w:rsidRPr="00716EDB">
        <w:t>Spire Healthcare Group plc (the ‘Company’) and its subsidiaries (collectively, ‘the Group’) owns and operates private hospitals and clinics in the UK and provides a range of private healthcare services.</w:t>
      </w:r>
    </w:p>
    <w:p w14:paraId="3609431E" w14:textId="77777777" w:rsidR="00725EE9" w:rsidRPr="00716EDB" w:rsidRDefault="00725EE9" w:rsidP="000360D9">
      <w:pPr>
        <w:jc w:val="both"/>
      </w:pPr>
      <w:r w:rsidRPr="00716EDB">
        <w:t>The Company is a public limited company, which is listed on the London Stock Exchange and incorporated and domiciled in the UK (registered number: 9084066). The address of its registered office is 3 Dorset Rise, London, EC4Y 8EN.</w:t>
      </w:r>
    </w:p>
    <w:p w14:paraId="1C60A626" w14:textId="77777777" w:rsidR="00725EE9" w:rsidRPr="00364452" w:rsidRDefault="00364452" w:rsidP="00364452">
      <w:pPr>
        <w:pStyle w:val="Heading3"/>
      </w:pPr>
      <w:r>
        <w:t xml:space="preserve">2. </w:t>
      </w:r>
      <w:r w:rsidR="00725EE9" w:rsidRPr="00364452">
        <w:t xml:space="preserve">Basis of preparation </w:t>
      </w:r>
    </w:p>
    <w:p w14:paraId="3BD964E7" w14:textId="77777777" w:rsidR="001B45E4" w:rsidRDefault="00725EE9" w:rsidP="000360D9">
      <w:pPr>
        <w:jc w:val="both"/>
      </w:pPr>
      <w:r w:rsidRPr="00716EDB">
        <w:rPr>
          <w:bCs/>
          <w:iCs/>
        </w:rPr>
        <w:t xml:space="preserve">The </w:t>
      </w:r>
      <w:r w:rsidRPr="00716EDB">
        <w:t>preliminary financial information for the year ended 31 December 201</w:t>
      </w:r>
      <w:r w:rsidR="000360D9">
        <w:t>5</w:t>
      </w:r>
      <w:r w:rsidRPr="00716EDB">
        <w:t xml:space="preserve"> included in this report was approved by the Board on </w:t>
      </w:r>
      <w:r w:rsidR="000360D9">
        <w:t>16</w:t>
      </w:r>
      <w:r w:rsidRPr="00716EDB">
        <w:t xml:space="preserve"> March 201</w:t>
      </w:r>
      <w:r w:rsidR="000360D9">
        <w:t>6</w:t>
      </w:r>
      <w:r w:rsidRPr="00716EDB">
        <w:t xml:space="preserve">. </w:t>
      </w:r>
      <w:r w:rsidR="00C12D4A">
        <w:t>The financial information set out here</w:t>
      </w:r>
      <w:r w:rsidRPr="00716EDB">
        <w:t xml:space="preserve"> does not constitute the Company’s statutory accounts </w:t>
      </w:r>
      <w:r w:rsidR="00C12D4A">
        <w:t>for</w:t>
      </w:r>
      <w:r w:rsidRPr="00716EDB">
        <w:t xml:space="preserve"> the </w:t>
      </w:r>
      <w:r w:rsidR="00C12D4A">
        <w:t>year ended 31 December 201</w:t>
      </w:r>
      <w:r w:rsidR="000360D9">
        <w:t>5</w:t>
      </w:r>
      <w:r w:rsidRPr="00716EDB">
        <w:t>, but is derived from those accounts</w:t>
      </w:r>
      <w:r w:rsidR="00C12D4A">
        <w:t>. Statutory accounts for 201</w:t>
      </w:r>
      <w:r w:rsidR="000360D9">
        <w:t>5</w:t>
      </w:r>
      <w:r w:rsidR="00C12D4A">
        <w:t xml:space="preserve"> will be delivered following the Company’s annual general meeting. The auditor has reported on those accounts; their report was unqualified, did not draw attention to any matters by way of emphasis and did not contain statements under s498 (2) or (3) of the Companies Act 2006</w:t>
      </w:r>
      <w:r w:rsidR="001B45E4">
        <w:t>.</w:t>
      </w:r>
    </w:p>
    <w:p w14:paraId="42D2C7E3" w14:textId="16C7A606" w:rsidR="00725EE9" w:rsidRPr="00716EDB" w:rsidRDefault="001B45E4" w:rsidP="000360D9">
      <w:pPr>
        <w:jc w:val="both"/>
        <w:rPr>
          <w:bCs/>
          <w:iCs/>
        </w:rPr>
      </w:pPr>
      <w:r>
        <w:t xml:space="preserve">Refer to note 14, property, plant and equipment, which </w:t>
      </w:r>
      <w:proofErr w:type="gramStart"/>
      <w:r>
        <w:t>provides</w:t>
      </w:r>
      <w:proofErr w:type="gramEnd"/>
      <w:r>
        <w:t xml:space="preserve"> further details on the restatement of the Consolidated balance sheet</w:t>
      </w:r>
      <w:r w:rsidR="00725EE9" w:rsidRPr="00716EDB">
        <w:rPr>
          <w:bCs/>
          <w:iCs/>
        </w:rPr>
        <w:t>.</w:t>
      </w:r>
    </w:p>
    <w:p w14:paraId="2B4B1F44" w14:textId="77777777" w:rsidR="00725EE9" w:rsidRPr="00364452" w:rsidRDefault="00725EE9" w:rsidP="00364452">
      <w:pPr>
        <w:pStyle w:val="Heading4"/>
      </w:pPr>
      <w:r w:rsidRPr="00364452">
        <w:t>Group reorganisation during 2014</w:t>
      </w:r>
    </w:p>
    <w:p w14:paraId="79544788" w14:textId="61C6BE86" w:rsidR="00846C42" w:rsidRDefault="00846C42" w:rsidP="00846C42">
      <w:pPr>
        <w:jc w:val="both"/>
      </w:pPr>
      <w:r>
        <w:t xml:space="preserve">As a result of the </w:t>
      </w:r>
      <w:r w:rsidR="00E70CD5">
        <w:t>G</w:t>
      </w:r>
      <w:r>
        <w:t>roup</w:t>
      </w:r>
      <w:r w:rsidR="00E70CD5">
        <w:t>’s</w:t>
      </w:r>
      <w:r>
        <w:t xml:space="preserve"> reorganisation implemented on 23 July 2014 through an exchange of equity interests, the Company became the legal parent of Spire Healthcare Group UK Limited and Spire UK Holdco 2A Limited, together with each of their subsidiaries. These companies were under common management and control throughout the periods </w:t>
      </w:r>
      <w:r w:rsidRPr="004721D1">
        <w:t xml:space="preserve">presented and, therefore, the comparative </w:t>
      </w:r>
      <w:r>
        <w:t xml:space="preserve">periods </w:t>
      </w:r>
      <w:r w:rsidRPr="004721D1">
        <w:t>ha</w:t>
      </w:r>
      <w:r>
        <w:t>ve</w:t>
      </w:r>
      <w:r w:rsidRPr="004721D1">
        <w:t xml:space="preserve"> been</w:t>
      </w:r>
      <w:r>
        <w:t xml:space="preserve"> prepared as if the reorganisation had taken place as at the beginning of the earliest period presented herein.</w:t>
      </w:r>
    </w:p>
    <w:p w14:paraId="314921D2" w14:textId="727AE06D" w:rsidR="00846C42" w:rsidRDefault="00846C42" w:rsidP="00846C42">
      <w:pPr>
        <w:jc w:val="both"/>
      </w:pPr>
      <w:r>
        <w:t xml:space="preserve">As the </w:t>
      </w:r>
      <w:r w:rsidR="00E17118">
        <w:t>G</w:t>
      </w:r>
      <w:r>
        <w:t>roup reorganisation did not lead to a change in control of the companies included in the Group, it was accounted for using the pooling-of-interest method by aggregating the assets, liabilities, results, share capital and reserves, after eliminating intercompany balances and unrealised profits. The consolidated financial statements, therefore, reflect the assets, liabilities and results of operations of the components of the Group that constituted the property ownership and trading businesses.</w:t>
      </w:r>
    </w:p>
    <w:p w14:paraId="7D9246AD" w14:textId="77777777" w:rsidR="00725EE9" w:rsidRPr="00716EDB" w:rsidRDefault="00725EE9" w:rsidP="00364452">
      <w:pPr>
        <w:pStyle w:val="Heading4"/>
      </w:pPr>
      <w:r w:rsidRPr="00716EDB">
        <w:t>Going concern</w:t>
      </w:r>
    </w:p>
    <w:p w14:paraId="0F9FCB32" w14:textId="26E6118D" w:rsidR="00725EE9" w:rsidRPr="00716EDB" w:rsidRDefault="007819FB" w:rsidP="007819FB">
      <w:pPr>
        <w:jc w:val="both"/>
      </w:pPr>
      <w:r>
        <w:t xml:space="preserve">The </w:t>
      </w:r>
      <w:r w:rsidRPr="00716EDB">
        <w:t xml:space="preserve">Group </w:t>
      </w:r>
      <w:r>
        <w:t>is financed by</w:t>
      </w:r>
      <w:r w:rsidRPr="00716EDB">
        <w:t xml:space="preserve"> </w:t>
      </w:r>
      <w:r>
        <w:t xml:space="preserve">a </w:t>
      </w:r>
      <w:r w:rsidRPr="00716EDB">
        <w:t>bank loan facilit</w:t>
      </w:r>
      <w:r>
        <w:t>y</w:t>
      </w:r>
      <w:r w:rsidRPr="00716EDB">
        <w:t xml:space="preserve"> that matures in 2019. The </w:t>
      </w:r>
      <w:r w:rsidR="00925DBD">
        <w:t>D</w:t>
      </w:r>
      <w:r w:rsidRPr="00716EDB">
        <w:t xml:space="preserve">irectors have considered the Group’s forecasts and projections, and the risks associated with their delivery, and are satisfied that, the Group will be able to operate within the covenants imposed by the bank loan facility for the foreseeable future. In relation to available cash resources, the </w:t>
      </w:r>
      <w:r w:rsidR="00925DBD">
        <w:t>D</w:t>
      </w:r>
      <w:r w:rsidRPr="00716EDB">
        <w:t>irectors have had regard to both cash at bank and a £100.0 million committed undrawn revolving credit facility. Accordingly, they have adopted the going concern basis in preparing th</w:t>
      </w:r>
      <w:r>
        <w:t>i</w:t>
      </w:r>
      <w:r w:rsidRPr="00716EDB">
        <w:t xml:space="preserve">s </w:t>
      </w:r>
      <w:r w:rsidRPr="00E30056">
        <w:rPr>
          <w:bCs/>
          <w:iCs/>
        </w:rPr>
        <w:t>preliminary announcement</w:t>
      </w:r>
      <w:r w:rsidR="00725EE9" w:rsidRPr="00716EDB">
        <w:t>.</w:t>
      </w:r>
    </w:p>
    <w:p w14:paraId="0042FC08" w14:textId="77777777" w:rsidR="00725EE9" w:rsidRPr="00594FCF" w:rsidRDefault="00364452" w:rsidP="007819FB">
      <w:pPr>
        <w:pStyle w:val="Heading3"/>
      </w:pPr>
      <w:r>
        <w:t xml:space="preserve">3. </w:t>
      </w:r>
      <w:r w:rsidR="00725EE9" w:rsidRPr="00594FCF">
        <w:t>Accounting policies</w:t>
      </w:r>
    </w:p>
    <w:p w14:paraId="24CB8198" w14:textId="41E40635" w:rsidR="00725EE9" w:rsidRPr="00B626AD" w:rsidRDefault="00725EE9" w:rsidP="007819FB">
      <w:pPr>
        <w:jc w:val="both"/>
        <w:rPr>
          <w:szCs w:val="17"/>
        </w:rPr>
      </w:pPr>
      <w:r w:rsidRPr="00B626AD">
        <w:rPr>
          <w:szCs w:val="17"/>
        </w:rPr>
        <w:t xml:space="preserve">In preparing this preliminary announcement the same accounting policies have been applied as those set out in the </w:t>
      </w:r>
      <w:r w:rsidR="007819FB">
        <w:t>Group’s Annual Report and Accounts for the year ended 31 December 2014</w:t>
      </w:r>
      <w:r w:rsidRPr="00B626AD">
        <w:rPr>
          <w:szCs w:val="17"/>
        </w:rPr>
        <w:t xml:space="preserve">, a copy of which can be found on the Company’s website at </w:t>
      </w:r>
      <w:hyperlink r:id="rId11" w:history="1">
        <w:r w:rsidRPr="00B626AD">
          <w:rPr>
            <w:rStyle w:val="Hyperlink"/>
            <w:szCs w:val="17"/>
          </w:rPr>
          <w:t>www.spirehealthcare.com</w:t>
        </w:r>
      </w:hyperlink>
      <w:r w:rsidRPr="00B626AD">
        <w:rPr>
          <w:szCs w:val="17"/>
        </w:rPr>
        <w:t>.</w:t>
      </w:r>
    </w:p>
    <w:p w14:paraId="2E377106" w14:textId="77777777" w:rsidR="00725EE9" w:rsidRPr="00B626AD" w:rsidRDefault="00725EE9" w:rsidP="007819FB">
      <w:pPr>
        <w:jc w:val="both"/>
        <w:rPr>
          <w:szCs w:val="17"/>
        </w:rPr>
      </w:pPr>
      <w:r w:rsidRPr="00B626AD">
        <w:rPr>
          <w:szCs w:val="17"/>
        </w:rPr>
        <w:t>The auditors have reported on those accounts. Their reports were not qualified and did not contain any emphasis of matter paragraph.</w:t>
      </w:r>
    </w:p>
    <w:p w14:paraId="1FF7BC03" w14:textId="77777777" w:rsidR="00725EE9" w:rsidRPr="00594FCF" w:rsidRDefault="00725EE9" w:rsidP="00364452">
      <w:pPr>
        <w:pStyle w:val="Heading4"/>
      </w:pPr>
      <w:r w:rsidRPr="00594FCF">
        <w:t xml:space="preserve">New and amended standards and interpretations </w:t>
      </w:r>
    </w:p>
    <w:p w14:paraId="7C91A0AF" w14:textId="77777777" w:rsidR="007819FB" w:rsidRDefault="007819FB" w:rsidP="007819FB">
      <w:pPr>
        <w:jc w:val="both"/>
      </w:pPr>
      <w:r w:rsidRPr="00BC5F30">
        <w:t xml:space="preserve">The following amendments to existing standards and interpretations were effective for </w:t>
      </w:r>
      <w:r>
        <w:t xml:space="preserve">the Group from </w:t>
      </w:r>
      <w:r w:rsidRPr="00BC5F30">
        <w:t>1 January 2015, but either they were not applicable to or did not have a material impact on the Group:</w:t>
      </w:r>
    </w:p>
    <w:p w14:paraId="79CE4EFC" w14:textId="77777777" w:rsidR="007819FB" w:rsidRDefault="007819FB" w:rsidP="007819FB">
      <w:pPr>
        <w:pStyle w:val="ListParagraph"/>
        <w:numPr>
          <w:ilvl w:val="0"/>
          <w:numId w:val="31"/>
        </w:numPr>
        <w:jc w:val="both"/>
      </w:pPr>
      <w:r>
        <w:t>IAS 19 Employee Benefits – Defined Benefit Plans: Employee Contributions (Amendments)</w:t>
      </w:r>
    </w:p>
    <w:p w14:paraId="7AB90BA9" w14:textId="77777777" w:rsidR="007819FB" w:rsidRDefault="007819FB" w:rsidP="007819FB">
      <w:pPr>
        <w:pStyle w:val="ListParagraph"/>
        <w:numPr>
          <w:ilvl w:val="0"/>
          <w:numId w:val="31"/>
        </w:numPr>
        <w:jc w:val="both"/>
      </w:pPr>
      <w:r>
        <w:t>Annual Improvements to IFRSs 2010–2012 Cycle</w:t>
      </w:r>
    </w:p>
    <w:p w14:paraId="280144D0" w14:textId="77777777" w:rsidR="007819FB" w:rsidRDefault="007819FB" w:rsidP="007819FB">
      <w:pPr>
        <w:pStyle w:val="ListParagraph"/>
        <w:numPr>
          <w:ilvl w:val="0"/>
          <w:numId w:val="31"/>
        </w:numPr>
        <w:jc w:val="both"/>
      </w:pPr>
      <w:r>
        <w:t>Annual Improvements to IFRSs 2011–2013 Cycle</w:t>
      </w:r>
    </w:p>
    <w:p w14:paraId="53B9A120" w14:textId="77777777" w:rsidR="007819FB" w:rsidRDefault="007819FB" w:rsidP="007819FB">
      <w:pPr>
        <w:jc w:val="both"/>
      </w:pPr>
      <w:r>
        <w:t>The Group has not early adopted any standard, interpretation or amendment that has been issued but is not yet effective on 1 January 2015.</w:t>
      </w:r>
    </w:p>
    <w:p w14:paraId="71BD5E67" w14:textId="77777777" w:rsidR="001B5766" w:rsidRDefault="001B5766">
      <w:pPr>
        <w:spacing w:after="160" w:line="259" w:lineRule="auto"/>
        <w:rPr>
          <w:rFonts w:asciiTheme="majorHAnsi" w:eastAsiaTheme="majorEastAsia" w:hAnsiTheme="majorHAnsi" w:cstheme="majorBidi"/>
          <w:b/>
          <w:caps/>
          <w:color w:val="93B6BB"/>
          <w:szCs w:val="24"/>
        </w:rPr>
      </w:pPr>
      <w:r>
        <w:br w:type="page"/>
      </w:r>
    </w:p>
    <w:p w14:paraId="77EA233A" w14:textId="6C78CF80" w:rsidR="001B5766" w:rsidRPr="00594FCF" w:rsidRDefault="001B5766" w:rsidP="001B5766">
      <w:pPr>
        <w:pStyle w:val="Heading3"/>
      </w:pPr>
      <w:r>
        <w:lastRenderedPageBreak/>
        <w:t xml:space="preserve">3. </w:t>
      </w:r>
      <w:r w:rsidRPr="00594FCF">
        <w:t>Accounting policies</w:t>
      </w:r>
      <w:r>
        <w:t xml:space="preserve"> (CONTINUED)</w:t>
      </w:r>
    </w:p>
    <w:p w14:paraId="216DAA73" w14:textId="6CAE3482" w:rsidR="001B5766" w:rsidRDefault="001B5766" w:rsidP="001B5766">
      <w:pPr>
        <w:pStyle w:val="Heading4"/>
      </w:pPr>
      <w:r>
        <w:t>Standards and interpretations issued but not yet applied</w:t>
      </w:r>
    </w:p>
    <w:p w14:paraId="57BC44F4" w14:textId="7A8771C6" w:rsidR="001B5766" w:rsidRDefault="001B5766" w:rsidP="001B5766">
      <w:pPr>
        <w:jc w:val="both"/>
        <w:rPr>
          <w:szCs w:val="20"/>
        </w:rPr>
      </w:pPr>
      <w:r w:rsidRPr="00E725B5">
        <w:rPr>
          <w:szCs w:val="20"/>
        </w:rPr>
        <w:t xml:space="preserve">The following new and amended standards and interpretations in issue are not yet effective and </w:t>
      </w:r>
      <w:r>
        <w:rPr>
          <w:szCs w:val="20"/>
        </w:rPr>
        <w:t>have not been applied by the G</w:t>
      </w:r>
      <w:r w:rsidRPr="00E725B5">
        <w:rPr>
          <w:szCs w:val="20"/>
        </w:rPr>
        <w:t>roup</w:t>
      </w:r>
      <w:r>
        <w:rPr>
          <w:szCs w:val="20"/>
        </w:rPr>
        <w:t>:</w:t>
      </w:r>
    </w:p>
    <w:tbl>
      <w:tblPr>
        <w:tblW w:w="9072" w:type="dxa"/>
        <w:tblLayout w:type="fixed"/>
        <w:tblCellMar>
          <w:left w:w="0" w:type="dxa"/>
          <w:right w:w="57" w:type="dxa"/>
        </w:tblCellMar>
        <w:tblLook w:val="0000" w:firstRow="0" w:lastRow="0" w:firstColumn="0" w:lastColumn="0" w:noHBand="0" w:noVBand="0"/>
      </w:tblPr>
      <w:tblGrid>
        <w:gridCol w:w="7513"/>
        <w:gridCol w:w="1559"/>
      </w:tblGrid>
      <w:tr w:rsidR="00063D9E" w:rsidRPr="00CE0A31" w14:paraId="7A528920" w14:textId="77777777" w:rsidTr="00063D9E">
        <w:tc>
          <w:tcPr>
            <w:tcW w:w="7513" w:type="dxa"/>
            <w:tcBorders>
              <w:bottom w:val="single" w:sz="4" w:space="0" w:color="93B7BB"/>
            </w:tcBorders>
            <w:vAlign w:val="bottom"/>
          </w:tcPr>
          <w:p w14:paraId="645D1A62" w14:textId="595CA9A9" w:rsidR="00063D9E" w:rsidRPr="00CE0A31" w:rsidRDefault="00063D9E" w:rsidP="00C0708A">
            <w:pPr>
              <w:pStyle w:val="Tableheading"/>
            </w:pPr>
          </w:p>
        </w:tc>
        <w:tc>
          <w:tcPr>
            <w:tcW w:w="1559" w:type="dxa"/>
            <w:tcBorders>
              <w:bottom w:val="single" w:sz="4" w:space="0" w:color="93B7BB"/>
            </w:tcBorders>
            <w:vAlign w:val="bottom"/>
          </w:tcPr>
          <w:p w14:paraId="62C9FF43" w14:textId="4225E68C" w:rsidR="00063D9E" w:rsidRPr="00CE0A31" w:rsidRDefault="00063D9E" w:rsidP="00063D9E">
            <w:pPr>
              <w:pStyle w:val="Tableheading"/>
              <w:ind w:right="-4"/>
              <w:jc w:val="right"/>
              <w:rPr>
                <w:color w:val="6F6F6E"/>
                <w:sz w:val="20"/>
                <w:szCs w:val="20"/>
              </w:rPr>
            </w:pPr>
            <w:r>
              <w:t>Effective date*</w:t>
            </w:r>
          </w:p>
        </w:tc>
      </w:tr>
      <w:tr w:rsidR="00063D9E" w:rsidRPr="00CE0A31" w14:paraId="1C0FF4C6" w14:textId="77777777" w:rsidTr="00063D9E">
        <w:tc>
          <w:tcPr>
            <w:tcW w:w="7513" w:type="dxa"/>
            <w:tcBorders>
              <w:top w:val="single" w:sz="4" w:space="0" w:color="93B7BB"/>
            </w:tcBorders>
          </w:tcPr>
          <w:p w14:paraId="4B637E05" w14:textId="6C89047A" w:rsidR="00063D9E" w:rsidRPr="00CE0A31" w:rsidRDefault="00063D9E" w:rsidP="00C0708A">
            <w:pPr>
              <w:pStyle w:val="Tabletext"/>
              <w:rPr>
                <w:lang w:val="en-US" w:eastAsia="nl-NL"/>
              </w:rPr>
            </w:pPr>
            <w:r w:rsidRPr="006D409E">
              <w:t xml:space="preserve">Amendments to IFRS 11: Accounting for Acquisitions of Interests in </w:t>
            </w:r>
            <w:r>
              <w:t>Joint Operations</w:t>
            </w:r>
          </w:p>
        </w:tc>
        <w:tc>
          <w:tcPr>
            <w:tcW w:w="1559" w:type="dxa"/>
            <w:tcBorders>
              <w:top w:val="single" w:sz="4" w:space="0" w:color="93B7BB"/>
            </w:tcBorders>
            <w:vAlign w:val="bottom"/>
          </w:tcPr>
          <w:p w14:paraId="42E66726" w14:textId="4EE9102A" w:rsidR="00063D9E" w:rsidRPr="00CE0A31" w:rsidRDefault="00063D9E" w:rsidP="00C0708A">
            <w:pPr>
              <w:pStyle w:val="Tabletext"/>
              <w:jc w:val="right"/>
            </w:pPr>
            <w:r>
              <w:rPr>
                <w:color w:val="6F6F6E"/>
              </w:rPr>
              <w:t>1 January 2016</w:t>
            </w:r>
          </w:p>
        </w:tc>
      </w:tr>
      <w:tr w:rsidR="00063D9E" w:rsidRPr="00CE0A31" w14:paraId="0EB91FC2" w14:textId="77777777" w:rsidTr="00063D9E">
        <w:tc>
          <w:tcPr>
            <w:tcW w:w="7513" w:type="dxa"/>
            <w:vAlign w:val="bottom"/>
          </w:tcPr>
          <w:p w14:paraId="2B2E0CD9" w14:textId="01D07512" w:rsidR="00063D9E" w:rsidRPr="00CE0A31" w:rsidRDefault="00063D9E" w:rsidP="00063D9E">
            <w:pPr>
              <w:pStyle w:val="Tabletext"/>
              <w:rPr>
                <w:lang w:val="en-US" w:eastAsia="nl-NL"/>
              </w:rPr>
            </w:pPr>
            <w:r w:rsidRPr="006D409E">
              <w:t>Amendments to IAS 16 and IAS 38: Clarification of Acceptable Methods of Depreciation and A</w:t>
            </w:r>
            <w:r>
              <w:t>mortisation</w:t>
            </w:r>
            <w:r w:rsidRPr="00CE0A31">
              <w:rPr>
                <w:color w:val="6F6F6E"/>
              </w:rPr>
              <w:t xml:space="preserve"> </w:t>
            </w:r>
          </w:p>
        </w:tc>
        <w:tc>
          <w:tcPr>
            <w:tcW w:w="1559" w:type="dxa"/>
            <w:vAlign w:val="bottom"/>
          </w:tcPr>
          <w:p w14:paraId="20AFAE29" w14:textId="1D9F519C" w:rsidR="00063D9E" w:rsidRPr="00CE0A31" w:rsidRDefault="00063D9E" w:rsidP="00063D9E">
            <w:pPr>
              <w:pStyle w:val="Tabletext"/>
              <w:jc w:val="right"/>
            </w:pPr>
            <w:r>
              <w:rPr>
                <w:color w:val="6F6F6E"/>
              </w:rPr>
              <w:t>1 January 2016</w:t>
            </w:r>
          </w:p>
        </w:tc>
      </w:tr>
      <w:tr w:rsidR="00063D9E" w:rsidRPr="00CE0A31" w14:paraId="7C7A6A92" w14:textId="77777777" w:rsidTr="00063D9E">
        <w:tc>
          <w:tcPr>
            <w:tcW w:w="7513" w:type="dxa"/>
            <w:vAlign w:val="bottom"/>
          </w:tcPr>
          <w:p w14:paraId="6F04062D" w14:textId="4461D430" w:rsidR="00063D9E" w:rsidRPr="00CE0A31" w:rsidRDefault="00063D9E" w:rsidP="00C0708A">
            <w:pPr>
              <w:pStyle w:val="Tabletext"/>
              <w:rPr>
                <w:color w:val="6F6F6E"/>
              </w:rPr>
            </w:pPr>
            <w:r w:rsidRPr="008E3281">
              <w:t>Amendments to IAS 27: Equity Method in Separate Finan</w:t>
            </w:r>
            <w:r>
              <w:t>cial Statements</w:t>
            </w:r>
          </w:p>
        </w:tc>
        <w:tc>
          <w:tcPr>
            <w:tcW w:w="1559" w:type="dxa"/>
            <w:vAlign w:val="bottom"/>
          </w:tcPr>
          <w:p w14:paraId="086DEF1A" w14:textId="5F49DBEA" w:rsidR="00063D9E" w:rsidRPr="00CE0A31" w:rsidRDefault="00063D9E" w:rsidP="00C0708A">
            <w:pPr>
              <w:pStyle w:val="Tabletext"/>
              <w:jc w:val="right"/>
              <w:rPr>
                <w:color w:val="6F6F6E"/>
              </w:rPr>
            </w:pPr>
            <w:r>
              <w:rPr>
                <w:color w:val="6F6F6E"/>
              </w:rPr>
              <w:t>1 January 2016</w:t>
            </w:r>
          </w:p>
        </w:tc>
      </w:tr>
      <w:tr w:rsidR="00063D9E" w:rsidRPr="00CE0A31" w14:paraId="0E07F619" w14:textId="77777777" w:rsidTr="00063D9E">
        <w:tc>
          <w:tcPr>
            <w:tcW w:w="7513" w:type="dxa"/>
            <w:vAlign w:val="bottom"/>
          </w:tcPr>
          <w:p w14:paraId="2A4234C3" w14:textId="0927BADD" w:rsidR="00063D9E" w:rsidRPr="008E3281" w:rsidRDefault="00063D9E" w:rsidP="00C0708A">
            <w:pPr>
              <w:pStyle w:val="Tabletext"/>
            </w:pPr>
            <w:r w:rsidRPr="008E3281">
              <w:t xml:space="preserve">Amendments to IAS 1: Disclosure </w:t>
            </w:r>
            <w:r>
              <w:t>Initiative</w:t>
            </w:r>
          </w:p>
        </w:tc>
        <w:tc>
          <w:tcPr>
            <w:tcW w:w="1559" w:type="dxa"/>
            <w:vAlign w:val="bottom"/>
          </w:tcPr>
          <w:p w14:paraId="48EED902" w14:textId="54387225" w:rsidR="00063D9E" w:rsidRDefault="00063D9E" w:rsidP="00C0708A">
            <w:pPr>
              <w:pStyle w:val="Tabletext"/>
              <w:jc w:val="right"/>
              <w:rPr>
                <w:color w:val="6F6F6E"/>
              </w:rPr>
            </w:pPr>
            <w:r>
              <w:rPr>
                <w:color w:val="6F6F6E"/>
              </w:rPr>
              <w:t>1 January 2016</w:t>
            </w:r>
          </w:p>
        </w:tc>
      </w:tr>
      <w:tr w:rsidR="00063D9E" w:rsidRPr="00CE0A31" w14:paraId="6E5340F2" w14:textId="77777777" w:rsidTr="00063D9E">
        <w:tc>
          <w:tcPr>
            <w:tcW w:w="7513" w:type="dxa"/>
            <w:vAlign w:val="bottom"/>
          </w:tcPr>
          <w:p w14:paraId="26FD8DCD" w14:textId="0A0E42FE" w:rsidR="00063D9E" w:rsidRPr="008E3281" w:rsidRDefault="00063D9E" w:rsidP="00C0708A">
            <w:pPr>
              <w:pStyle w:val="Tabletext"/>
            </w:pPr>
            <w:r w:rsidRPr="008E3281">
              <w:t>Annual Improvements to IFRSs 2012–</w:t>
            </w:r>
            <w:r>
              <w:t>2014 Cycle</w:t>
            </w:r>
          </w:p>
        </w:tc>
        <w:tc>
          <w:tcPr>
            <w:tcW w:w="1559" w:type="dxa"/>
            <w:vAlign w:val="bottom"/>
          </w:tcPr>
          <w:p w14:paraId="6835ADA3" w14:textId="3CAE405A" w:rsidR="00063D9E" w:rsidRDefault="00063D9E" w:rsidP="00C0708A">
            <w:pPr>
              <w:pStyle w:val="Tabletext"/>
              <w:jc w:val="right"/>
              <w:rPr>
                <w:color w:val="6F6F6E"/>
              </w:rPr>
            </w:pPr>
            <w:r>
              <w:rPr>
                <w:color w:val="6F6F6E"/>
              </w:rPr>
              <w:t>1 January 2016</w:t>
            </w:r>
          </w:p>
        </w:tc>
      </w:tr>
      <w:tr w:rsidR="00063D9E" w:rsidRPr="00CE0A31" w14:paraId="173926E4" w14:textId="77777777" w:rsidTr="00063D9E">
        <w:tc>
          <w:tcPr>
            <w:tcW w:w="7513" w:type="dxa"/>
            <w:vAlign w:val="bottom"/>
          </w:tcPr>
          <w:p w14:paraId="6DAA63B1" w14:textId="5D0FB291" w:rsidR="00063D9E" w:rsidRPr="008E3281" w:rsidRDefault="00063D9E" w:rsidP="00C0708A">
            <w:pPr>
              <w:pStyle w:val="Tabletext"/>
            </w:pPr>
            <w:r w:rsidRPr="00A74BB8">
              <w:t>IFRS 14 Regulatory Deferral Accounts</w:t>
            </w:r>
          </w:p>
        </w:tc>
        <w:tc>
          <w:tcPr>
            <w:tcW w:w="1559" w:type="dxa"/>
            <w:vAlign w:val="bottom"/>
          </w:tcPr>
          <w:p w14:paraId="3CBF7004" w14:textId="7BAA4B41" w:rsidR="00063D9E" w:rsidRDefault="00063D9E" w:rsidP="00C0708A">
            <w:pPr>
              <w:pStyle w:val="Tabletext"/>
              <w:jc w:val="right"/>
              <w:rPr>
                <w:color w:val="6F6F6E"/>
              </w:rPr>
            </w:pPr>
            <w:r>
              <w:rPr>
                <w:color w:val="6F6F6E"/>
              </w:rPr>
              <w:t>1 January 2016</w:t>
            </w:r>
            <w:r w:rsidRPr="00063D9E">
              <w:rPr>
                <w:b/>
                <w:bCs/>
                <w:vertAlign w:val="superscript"/>
              </w:rPr>
              <w:t>†</w:t>
            </w:r>
          </w:p>
        </w:tc>
      </w:tr>
      <w:tr w:rsidR="00063D9E" w:rsidRPr="00CE0A31" w14:paraId="5F74824B" w14:textId="77777777" w:rsidTr="00063D9E">
        <w:tc>
          <w:tcPr>
            <w:tcW w:w="7513" w:type="dxa"/>
            <w:vAlign w:val="bottom"/>
          </w:tcPr>
          <w:p w14:paraId="670C86DA" w14:textId="0B25633F" w:rsidR="00063D9E" w:rsidRPr="008E3281" w:rsidRDefault="00063D9E" w:rsidP="00C0708A">
            <w:pPr>
              <w:pStyle w:val="Tabletext"/>
            </w:pPr>
            <w:r w:rsidRPr="00A74BB8">
              <w:t>Amendments to IFRS 10, IFRS 12 and IAS 28: Investment Entities: Applying Consolidation Exception</w:t>
            </w:r>
          </w:p>
        </w:tc>
        <w:tc>
          <w:tcPr>
            <w:tcW w:w="1559" w:type="dxa"/>
            <w:vAlign w:val="bottom"/>
          </w:tcPr>
          <w:p w14:paraId="669E3C19" w14:textId="4F15F493" w:rsidR="00063D9E" w:rsidRDefault="00063D9E" w:rsidP="00C0708A">
            <w:pPr>
              <w:pStyle w:val="Tabletext"/>
              <w:jc w:val="right"/>
              <w:rPr>
                <w:color w:val="6F6F6E"/>
              </w:rPr>
            </w:pPr>
            <w:r>
              <w:rPr>
                <w:color w:val="6F6F6E"/>
              </w:rPr>
              <w:t>1 January 2016</w:t>
            </w:r>
            <w:r w:rsidRPr="00063D9E">
              <w:rPr>
                <w:b/>
                <w:bCs/>
                <w:vertAlign w:val="superscript"/>
              </w:rPr>
              <w:t>†</w:t>
            </w:r>
          </w:p>
        </w:tc>
      </w:tr>
      <w:tr w:rsidR="00063D9E" w:rsidRPr="00CE0A31" w14:paraId="009A67DC" w14:textId="77777777" w:rsidTr="00063D9E">
        <w:tc>
          <w:tcPr>
            <w:tcW w:w="7513" w:type="dxa"/>
            <w:vAlign w:val="bottom"/>
          </w:tcPr>
          <w:p w14:paraId="49C474E6" w14:textId="0A8F8474" w:rsidR="00063D9E" w:rsidRPr="008E3281" w:rsidRDefault="00063D9E" w:rsidP="00C0708A">
            <w:pPr>
              <w:pStyle w:val="Tabletext"/>
            </w:pPr>
            <w:r w:rsidRPr="00A74BB8">
              <w:t>IFRS 15 Revenue from Contracts with Customers</w:t>
            </w:r>
          </w:p>
        </w:tc>
        <w:tc>
          <w:tcPr>
            <w:tcW w:w="1559" w:type="dxa"/>
            <w:vAlign w:val="bottom"/>
          </w:tcPr>
          <w:p w14:paraId="10C56AAF" w14:textId="4ECF9204" w:rsidR="00063D9E" w:rsidRDefault="00063D9E" w:rsidP="00C0708A">
            <w:pPr>
              <w:pStyle w:val="Tabletext"/>
              <w:jc w:val="right"/>
              <w:rPr>
                <w:color w:val="6F6F6E"/>
              </w:rPr>
            </w:pPr>
            <w:r>
              <w:rPr>
                <w:color w:val="6F6F6E"/>
              </w:rPr>
              <w:t>1 January 2017</w:t>
            </w:r>
            <w:r w:rsidRPr="00063D9E">
              <w:rPr>
                <w:b/>
                <w:bCs/>
                <w:vertAlign w:val="superscript"/>
              </w:rPr>
              <w:t>†</w:t>
            </w:r>
          </w:p>
        </w:tc>
      </w:tr>
      <w:tr w:rsidR="00063D9E" w:rsidRPr="00CE0A31" w14:paraId="571ED9A8" w14:textId="77777777" w:rsidTr="00063D9E">
        <w:tc>
          <w:tcPr>
            <w:tcW w:w="7513" w:type="dxa"/>
            <w:vAlign w:val="bottom"/>
          </w:tcPr>
          <w:p w14:paraId="49C9C948" w14:textId="6A202F9E" w:rsidR="00063D9E" w:rsidRPr="008E3281" w:rsidRDefault="00063D9E" w:rsidP="00C0708A">
            <w:pPr>
              <w:pStyle w:val="Tabletext"/>
            </w:pPr>
            <w:r>
              <w:t>Amendment to IAS 7 Statement of Cash Flows: Changes in Financing Liabilities</w:t>
            </w:r>
          </w:p>
        </w:tc>
        <w:tc>
          <w:tcPr>
            <w:tcW w:w="1559" w:type="dxa"/>
            <w:vAlign w:val="bottom"/>
          </w:tcPr>
          <w:p w14:paraId="5D3BB86B" w14:textId="459DE266" w:rsidR="00063D9E" w:rsidRDefault="00063D9E" w:rsidP="00C0708A">
            <w:pPr>
              <w:pStyle w:val="Tabletext"/>
              <w:jc w:val="right"/>
              <w:rPr>
                <w:color w:val="6F6F6E"/>
              </w:rPr>
            </w:pPr>
            <w:r>
              <w:rPr>
                <w:color w:val="6F6F6E"/>
              </w:rPr>
              <w:t>1 January 2017</w:t>
            </w:r>
            <w:r w:rsidRPr="00063D9E">
              <w:rPr>
                <w:b/>
                <w:bCs/>
                <w:vertAlign w:val="superscript"/>
              </w:rPr>
              <w:t>†</w:t>
            </w:r>
          </w:p>
        </w:tc>
      </w:tr>
      <w:tr w:rsidR="00063D9E" w:rsidRPr="00CE0A31" w14:paraId="3DF1D947" w14:textId="77777777" w:rsidTr="00063D9E">
        <w:tc>
          <w:tcPr>
            <w:tcW w:w="7513" w:type="dxa"/>
            <w:vAlign w:val="bottom"/>
          </w:tcPr>
          <w:p w14:paraId="549383AB" w14:textId="1519C13F" w:rsidR="00063D9E" w:rsidRPr="008E3281" w:rsidRDefault="00063D9E" w:rsidP="00C0708A">
            <w:pPr>
              <w:pStyle w:val="Tabletext"/>
            </w:pPr>
            <w:r w:rsidRPr="00A74BB8">
              <w:t>IFRS 9 Financial Instruments</w:t>
            </w:r>
          </w:p>
        </w:tc>
        <w:tc>
          <w:tcPr>
            <w:tcW w:w="1559" w:type="dxa"/>
            <w:vAlign w:val="bottom"/>
          </w:tcPr>
          <w:p w14:paraId="3A2F26D7" w14:textId="65E91404" w:rsidR="00063D9E" w:rsidRDefault="00063D9E" w:rsidP="00C0708A">
            <w:pPr>
              <w:pStyle w:val="Tabletext"/>
              <w:jc w:val="right"/>
              <w:rPr>
                <w:color w:val="6F6F6E"/>
              </w:rPr>
            </w:pPr>
            <w:r>
              <w:rPr>
                <w:color w:val="6F6F6E"/>
              </w:rPr>
              <w:t>1 January 2018</w:t>
            </w:r>
            <w:r w:rsidRPr="00063D9E">
              <w:rPr>
                <w:b/>
                <w:bCs/>
                <w:vertAlign w:val="superscript"/>
              </w:rPr>
              <w:t>†</w:t>
            </w:r>
          </w:p>
        </w:tc>
      </w:tr>
      <w:tr w:rsidR="00063D9E" w:rsidRPr="00CE0A31" w14:paraId="310813A3" w14:textId="77777777" w:rsidTr="00063D9E">
        <w:tc>
          <w:tcPr>
            <w:tcW w:w="7513" w:type="dxa"/>
            <w:tcBorders>
              <w:bottom w:val="single" w:sz="4" w:space="0" w:color="93B7BB"/>
            </w:tcBorders>
            <w:vAlign w:val="bottom"/>
          </w:tcPr>
          <w:p w14:paraId="7F5750BB" w14:textId="35F96253" w:rsidR="00063D9E" w:rsidRPr="00CE0A31" w:rsidRDefault="00063D9E" w:rsidP="00063D9E">
            <w:pPr>
              <w:pStyle w:val="Tabletext"/>
              <w:rPr>
                <w:lang w:val="en-US" w:eastAsia="nl-NL"/>
              </w:rPr>
            </w:pPr>
            <w:r w:rsidRPr="00A74BB8">
              <w:t xml:space="preserve">IFRS </w:t>
            </w:r>
            <w:r>
              <w:t xml:space="preserve">16 Leases </w:t>
            </w:r>
          </w:p>
        </w:tc>
        <w:tc>
          <w:tcPr>
            <w:tcW w:w="1559" w:type="dxa"/>
            <w:tcBorders>
              <w:bottom w:val="single" w:sz="4" w:space="0" w:color="93B7BB"/>
            </w:tcBorders>
            <w:vAlign w:val="bottom"/>
          </w:tcPr>
          <w:p w14:paraId="53C11323" w14:textId="74FBC06A" w:rsidR="00063D9E" w:rsidRPr="00CE0A31" w:rsidRDefault="00063D9E" w:rsidP="00C0708A">
            <w:pPr>
              <w:pStyle w:val="Tabletext"/>
              <w:jc w:val="right"/>
            </w:pPr>
            <w:r>
              <w:rPr>
                <w:color w:val="6F6F6E"/>
              </w:rPr>
              <w:t>1 January 2019</w:t>
            </w:r>
            <w:r w:rsidRPr="00063D9E">
              <w:rPr>
                <w:b/>
                <w:bCs/>
                <w:vertAlign w:val="superscript"/>
              </w:rPr>
              <w:t>†</w:t>
            </w:r>
          </w:p>
        </w:tc>
      </w:tr>
    </w:tbl>
    <w:p w14:paraId="7966F1FD" w14:textId="3E23AFDB" w:rsidR="00622B83" w:rsidRPr="009E3D84" w:rsidRDefault="00622B83" w:rsidP="00622B83">
      <w:pPr>
        <w:pStyle w:val="Footnote"/>
        <w:jc w:val="both"/>
      </w:pPr>
      <w:r>
        <w:t>*</w:t>
      </w:r>
      <w:r>
        <w:tab/>
      </w:r>
      <w:r w:rsidRPr="00894C28">
        <w:t xml:space="preserve">The effective dates stated above are those given in the original IASB/IFRIC standards and interpretations. As the Group prepares its financial statements in accordance with IFRS as adopted by the European Union (EU), the application of new standards and interpretations will be subject to their having been endorsed for use in the EU via the EU Endorsement mechanism. In the majority of cases this will result in an effective date consistent with that given in the original standard or interpretation but the need for endorsement restricts the </w:t>
      </w:r>
      <w:r>
        <w:t>G</w:t>
      </w:r>
      <w:r w:rsidRPr="00894C28">
        <w:t>roup’s discretion to early adopt standards</w:t>
      </w:r>
      <w:r>
        <w:t>.</w:t>
      </w:r>
    </w:p>
    <w:p w14:paraId="780BD7E9" w14:textId="075B3E7C" w:rsidR="00622B83" w:rsidRDefault="00622B83" w:rsidP="00063D9E">
      <w:pPr>
        <w:pStyle w:val="Footnote"/>
      </w:pPr>
      <w:r w:rsidRPr="00063D9E">
        <w:rPr>
          <w:b/>
          <w:bCs/>
          <w:szCs w:val="17"/>
          <w:vertAlign w:val="superscript"/>
        </w:rPr>
        <w:t>†</w:t>
      </w:r>
      <w:r>
        <w:rPr>
          <w:b/>
          <w:bCs/>
          <w:szCs w:val="17"/>
          <w:vertAlign w:val="superscript"/>
        </w:rPr>
        <w:tab/>
      </w:r>
      <w:r w:rsidRPr="00E43031">
        <w:t>At the date of authorisation of these financial statements, these standards and interpretation have not yet been endorsed or adopted by the EU</w:t>
      </w:r>
      <w:r>
        <w:t>.</w:t>
      </w:r>
    </w:p>
    <w:p w14:paraId="2A127C0C" w14:textId="77777777" w:rsidR="00622B83" w:rsidRDefault="00622B83" w:rsidP="00063D9E">
      <w:pPr>
        <w:pStyle w:val="Footnote"/>
      </w:pPr>
    </w:p>
    <w:p w14:paraId="3924B2B0" w14:textId="2BFD9B0B" w:rsidR="001B5766" w:rsidRPr="001B5766" w:rsidRDefault="001B5766" w:rsidP="001B5766">
      <w:pPr>
        <w:jc w:val="both"/>
      </w:pPr>
      <w:r w:rsidRPr="008B6C80">
        <w:t xml:space="preserve">The </w:t>
      </w:r>
      <w:r>
        <w:t>Directors</w:t>
      </w:r>
      <w:r w:rsidRPr="008B6C80">
        <w:t xml:space="preserve"> do not expect the adoption of these standards and interpretations to have a material impact on the </w:t>
      </w:r>
      <w:proofErr w:type="gramStart"/>
      <w:r>
        <w:t>C</w:t>
      </w:r>
      <w:r w:rsidRPr="008B6C80">
        <w:t>onsolidated</w:t>
      </w:r>
      <w:proofErr w:type="gramEnd"/>
      <w:r w:rsidRPr="008B6C80">
        <w:t xml:space="preserve"> financial statements in the period of initial application</w:t>
      </w:r>
      <w:r>
        <w:t>, except for IFRS 16 Leases. The impact of this standard will be evaluated.</w:t>
      </w:r>
    </w:p>
    <w:p w14:paraId="74FAE894" w14:textId="77777777" w:rsidR="00725EE9" w:rsidRPr="00594FCF" w:rsidRDefault="00364452" w:rsidP="00364452">
      <w:pPr>
        <w:pStyle w:val="Heading3"/>
      </w:pPr>
      <w:r>
        <w:t xml:space="preserve">4. </w:t>
      </w:r>
      <w:r w:rsidR="00725EE9" w:rsidRPr="00594FCF">
        <w:t>Significant judgements and estimates</w:t>
      </w:r>
    </w:p>
    <w:p w14:paraId="58B97538" w14:textId="12618773" w:rsidR="00725EE9" w:rsidRPr="00594FCF" w:rsidRDefault="00725EE9" w:rsidP="006017F8">
      <w:pPr>
        <w:jc w:val="both"/>
      </w:pPr>
      <w:r w:rsidRPr="00594FCF">
        <w:t xml:space="preserve">In the application of the Group’s accounting policies, the </w:t>
      </w:r>
      <w:r w:rsidR="00925DBD">
        <w:t>D</w:t>
      </w:r>
      <w:r w:rsidRPr="00594FCF">
        <w:t xml:space="preserve">irectors are required to make judgements, and estimates about the carrying amounts of assets and liabilities that are not readily apparent from other sources. The estimates and associated assumptions are based on historical experience and other factors that are considered to be relevant. Actual results may differ from these estimates. </w:t>
      </w:r>
    </w:p>
    <w:p w14:paraId="5B3A719F" w14:textId="616B6354" w:rsidR="009F6259" w:rsidRDefault="00725EE9" w:rsidP="006017F8">
      <w:pPr>
        <w:jc w:val="both"/>
      </w:pPr>
      <w:r w:rsidRPr="00594FCF">
        <w:t>In preparing this preliminary announcement, the significant judgements made by management in applying the Group’s accounting policies and key sources of estimation uncertainty were the same as those applied to the consolidated financial statements for the year ended 31 December 201</w:t>
      </w:r>
      <w:r w:rsidR="006017F8">
        <w:t>4</w:t>
      </w:r>
      <w:r w:rsidR="009F6259">
        <w:t xml:space="preserve">, except for the </w:t>
      </w:r>
      <w:r w:rsidR="005B7F9A">
        <w:t>following</w:t>
      </w:r>
      <w:r w:rsidR="009F6259">
        <w:t xml:space="preserve">: </w:t>
      </w:r>
    </w:p>
    <w:p w14:paraId="5DD2BE22" w14:textId="25C2DE64" w:rsidR="00725EE9" w:rsidRDefault="009F6259" w:rsidP="009F6259">
      <w:pPr>
        <w:pStyle w:val="Heading4"/>
        <w:jc w:val="both"/>
      </w:pPr>
      <w:r>
        <w:t>Provisions</w:t>
      </w:r>
      <w:r w:rsidR="00764B43">
        <w:t xml:space="preserve"> for patient claims</w:t>
      </w:r>
    </w:p>
    <w:p w14:paraId="181651B8" w14:textId="3FDA6E88" w:rsidR="009F6259" w:rsidRDefault="009F6259" w:rsidP="009F6259">
      <w:pPr>
        <w:jc w:val="both"/>
      </w:pPr>
      <w:r>
        <w:t xml:space="preserve">In the measurement of </w:t>
      </w:r>
      <w:r w:rsidR="00764B43">
        <w:t xml:space="preserve">such </w:t>
      </w:r>
      <w:r>
        <w:t>provisions where the recognition criteria are met, the typical complexity of claims – for example in respect of their outcome and the extent of damages (if any) assessed on the Group – requires management to use estimation. Such estimates are typically based on professional advice on expected outcomes and historic information on similar claims.</w:t>
      </w:r>
    </w:p>
    <w:p w14:paraId="3F5D221B" w14:textId="1A07E6A7" w:rsidR="009F6259" w:rsidRDefault="009F6259" w:rsidP="009F6259">
      <w:pPr>
        <w:jc w:val="both"/>
      </w:pPr>
      <w:r>
        <w:t>In some cases, judgement is also required, for example, as to whether the criteria for recognising provisions are met and whether a reliable estimate of the outcomes can be made.</w:t>
      </w:r>
    </w:p>
    <w:p w14:paraId="5323A899" w14:textId="49EA6D53" w:rsidR="009F6259" w:rsidRPr="009F6259" w:rsidRDefault="009F6259" w:rsidP="009F6259">
      <w:pPr>
        <w:jc w:val="both"/>
      </w:pPr>
      <w:r>
        <w:t>Further details of claims and the amounts provided are given in note 17.</w:t>
      </w:r>
    </w:p>
    <w:p w14:paraId="508139AA" w14:textId="77777777" w:rsidR="00510698" w:rsidRDefault="00510698" w:rsidP="007819FB">
      <w:pPr>
        <w:pStyle w:val="Heading3"/>
      </w:pPr>
      <w:r>
        <w:br w:type="page"/>
      </w:r>
    </w:p>
    <w:p w14:paraId="78D5018E" w14:textId="5411F8C3" w:rsidR="00725EE9" w:rsidRPr="00594FCF" w:rsidRDefault="00364452" w:rsidP="007819FB">
      <w:pPr>
        <w:pStyle w:val="Heading3"/>
      </w:pPr>
      <w:r>
        <w:lastRenderedPageBreak/>
        <w:t xml:space="preserve">5. </w:t>
      </w:r>
      <w:r w:rsidR="00725EE9" w:rsidRPr="00594FCF">
        <w:t xml:space="preserve">Operating profit </w:t>
      </w:r>
    </w:p>
    <w:p w14:paraId="1EA9914F" w14:textId="77777777" w:rsidR="00725EE9" w:rsidRPr="00594FCF" w:rsidRDefault="00725EE9" w:rsidP="006017F8">
      <w:pPr>
        <w:jc w:val="both"/>
      </w:pPr>
      <w:r w:rsidRPr="00594FCF">
        <w:t>Operating profit has been arrived at after charging:</w:t>
      </w:r>
    </w:p>
    <w:tbl>
      <w:tblPr>
        <w:tblW w:w="9057" w:type="dxa"/>
        <w:tblLayout w:type="fixed"/>
        <w:tblCellMar>
          <w:left w:w="0" w:type="dxa"/>
          <w:right w:w="57" w:type="dxa"/>
        </w:tblCellMar>
        <w:tblLook w:val="0000" w:firstRow="0" w:lastRow="0" w:firstColumn="0" w:lastColumn="0" w:noHBand="0" w:noVBand="0"/>
      </w:tblPr>
      <w:tblGrid>
        <w:gridCol w:w="6623"/>
        <w:gridCol w:w="1220"/>
        <w:gridCol w:w="1214"/>
      </w:tblGrid>
      <w:tr w:rsidR="00B626AD" w:rsidRPr="00594FCF" w14:paraId="2052B1E1" w14:textId="77777777" w:rsidTr="00B626AD">
        <w:tc>
          <w:tcPr>
            <w:tcW w:w="6623" w:type="dxa"/>
            <w:tcBorders>
              <w:bottom w:val="single" w:sz="4" w:space="0" w:color="93B7BB"/>
            </w:tcBorders>
            <w:vAlign w:val="bottom"/>
          </w:tcPr>
          <w:p w14:paraId="6A384CC1" w14:textId="77777777" w:rsidR="00B626AD" w:rsidRPr="00B626AD" w:rsidRDefault="00B626AD" w:rsidP="00B626AD">
            <w:pPr>
              <w:pStyle w:val="Tableheading"/>
            </w:pPr>
            <w:r w:rsidRPr="00B626AD">
              <w:t>(£ million)</w:t>
            </w:r>
          </w:p>
        </w:tc>
        <w:tc>
          <w:tcPr>
            <w:tcW w:w="1220" w:type="dxa"/>
            <w:tcBorders>
              <w:bottom w:val="single" w:sz="4" w:space="0" w:color="93B7BB"/>
            </w:tcBorders>
            <w:vAlign w:val="bottom"/>
          </w:tcPr>
          <w:p w14:paraId="0CE565C7" w14:textId="065DDC60" w:rsidR="00B626AD" w:rsidRPr="00B626AD" w:rsidRDefault="00B626AD" w:rsidP="006017F8">
            <w:pPr>
              <w:pStyle w:val="Tableheading"/>
              <w:jc w:val="right"/>
              <w:rPr>
                <w:b/>
              </w:rPr>
            </w:pPr>
            <w:r w:rsidRPr="00B626AD">
              <w:rPr>
                <w:b/>
              </w:rPr>
              <w:t>201</w:t>
            </w:r>
            <w:r w:rsidR="006017F8">
              <w:rPr>
                <w:b/>
              </w:rPr>
              <w:t>5</w:t>
            </w:r>
          </w:p>
        </w:tc>
        <w:tc>
          <w:tcPr>
            <w:tcW w:w="1214" w:type="dxa"/>
            <w:tcBorders>
              <w:bottom w:val="single" w:sz="4" w:space="0" w:color="93B7BB"/>
            </w:tcBorders>
            <w:vAlign w:val="bottom"/>
          </w:tcPr>
          <w:p w14:paraId="577E38B7" w14:textId="67F14CC3" w:rsidR="00B626AD" w:rsidRPr="00B626AD" w:rsidRDefault="00B626AD" w:rsidP="006017F8">
            <w:pPr>
              <w:pStyle w:val="Tableheading"/>
              <w:jc w:val="right"/>
            </w:pPr>
            <w:r w:rsidRPr="00B626AD">
              <w:t>201</w:t>
            </w:r>
            <w:r w:rsidR="006017F8">
              <w:t>4</w:t>
            </w:r>
          </w:p>
        </w:tc>
      </w:tr>
      <w:tr w:rsidR="006017F8" w:rsidRPr="00594FCF" w14:paraId="26B620F4" w14:textId="77777777" w:rsidTr="00B626AD">
        <w:tc>
          <w:tcPr>
            <w:tcW w:w="6623" w:type="dxa"/>
            <w:tcBorders>
              <w:top w:val="single" w:sz="4" w:space="0" w:color="93B7BB"/>
            </w:tcBorders>
          </w:tcPr>
          <w:p w14:paraId="1F7EBFB6" w14:textId="77777777" w:rsidR="006017F8" w:rsidRPr="00594FCF" w:rsidRDefault="006017F8" w:rsidP="00B626AD">
            <w:pPr>
              <w:pStyle w:val="Tabletext"/>
            </w:pPr>
            <w:r w:rsidRPr="00594FCF">
              <w:rPr>
                <w:lang w:val="en-US" w:eastAsia="nl-NL"/>
              </w:rPr>
              <w:t>Rent of land and buildings under operating leases</w:t>
            </w:r>
          </w:p>
        </w:tc>
        <w:tc>
          <w:tcPr>
            <w:tcW w:w="1220" w:type="dxa"/>
            <w:tcBorders>
              <w:top w:val="single" w:sz="4" w:space="0" w:color="93B7BB"/>
            </w:tcBorders>
            <w:shd w:val="clear" w:color="auto" w:fill="EFF4F5"/>
            <w:vAlign w:val="bottom"/>
          </w:tcPr>
          <w:p w14:paraId="5C8D5AB8" w14:textId="1FD6BACA" w:rsidR="006017F8" w:rsidRPr="00B626AD" w:rsidRDefault="00E57103" w:rsidP="00B626AD">
            <w:pPr>
              <w:pStyle w:val="Tabletext"/>
              <w:jc w:val="right"/>
              <w:rPr>
                <w:b/>
              </w:rPr>
            </w:pPr>
            <w:r>
              <w:rPr>
                <w:b/>
              </w:rPr>
              <w:t>62.9</w:t>
            </w:r>
          </w:p>
        </w:tc>
        <w:tc>
          <w:tcPr>
            <w:tcW w:w="1214" w:type="dxa"/>
            <w:tcBorders>
              <w:top w:val="single" w:sz="4" w:space="0" w:color="93B7BB"/>
            </w:tcBorders>
            <w:vAlign w:val="bottom"/>
          </w:tcPr>
          <w:p w14:paraId="35DE2820" w14:textId="5A941C58" w:rsidR="006017F8" w:rsidRPr="006017F8" w:rsidRDefault="006017F8" w:rsidP="00B626AD">
            <w:pPr>
              <w:pStyle w:val="Tabletext"/>
              <w:jc w:val="right"/>
            </w:pPr>
            <w:r w:rsidRPr="006017F8">
              <w:t>60.7</w:t>
            </w:r>
          </w:p>
        </w:tc>
      </w:tr>
      <w:tr w:rsidR="006017F8" w:rsidRPr="00594FCF" w14:paraId="46CDCF3A" w14:textId="77777777" w:rsidTr="00B626AD">
        <w:tc>
          <w:tcPr>
            <w:tcW w:w="6623" w:type="dxa"/>
          </w:tcPr>
          <w:p w14:paraId="341AF580" w14:textId="2158803B" w:rsidR="006017F8" w:rsidRPr="00594FCF" w:rsidRDefault="006017F8" w:rsidP="00B626AD">
            <w:pPr>
              <w:pStyle w:val="Tabletext"/>
            </w:pPr>
            <w:r w:rsidRPr="00594FCF">
              <w:rPr>
                <w:lang w:val="en-US" w:eastAsia="nl-NL"/>
              </w:rPr>
              <w:t xml:space="preserve">Depreciation of property, plant </w:t>
            </w:r>
            <w:r>
              <w:rPr>
                <w:lang w:val="en-US" w:eastAsia="nl-NL"/>
              </w:rPr>
              <w:t>and</w:t>
            </w:r>
            <w:r w:rsidRPr="00594FCF">
              <w:rPr>
                <w:lang w:val="en-US" w:eastAsia="nl-NL"/>
              </w:rPr>
              <w:t xml:space="preserve"> equipment</w:t>
            </w:r>
          </w:p>
        </w:tc>
        <w:tc>
          <w:tcPr>
            <w:tcW w:w="1220" w:type="dxa"/>
            <w:shd w:val="clear" w:color="auto" w:fill="EFF4F5"/>
            <w:vAlign w:val="bottom"/>
          </w:tcPr>
          <w:p w14:paraId="09490692" w14:textId="0BC8AC5B" w:rsidR="006017F8" w:rsidRPr="00B626AD" w:rsidRDefault="00E57103" w:rsidP="00B626AD">
            <w:pPr>
              <w:pStyle w:val="Tabletext"/>
              <w:jc w:val="right"/>
              <w:rPr>
                <w:b/>
              </w:rPr>
            </w:pPr>
            <w:r>
              <w:rPr>
                <w:b/>
              </w:rPr>
              <w:t>48.9</w:t>
            </w:r>
          </w:p>
        </w:tc>
        <w:tc>
          <w:tcPr>
            <w:tcW w:w="1214" w:type="dxa"/>
            <w:vAlign w:val="bottom"/>
          </w:tcPr>
          <w:p w14:paraId="518DC510" w14:textId="300EE848" w:rsidR="006017F8" w:rsidRPr="006017F8" w:rsidRDefault="006017F8" w:rsidP="00B626AD">
            <w:pPr>
              <w:pStyle w:val="Tabletext"/>
              <w:jc w:val="right"/>
            </w:pPr>
            <w:r w:rsidRPr="006017F8">
              <w:t>45.1</w:t>
            </w:r>
          </w:p>
        </w:tc>
      </w:tr>
      <w:tr w:rsidR="00E57103" w:rsidRPr="00594FCF" w14:paraId="2C82A15C" w14:textId="77777777" w:rsidTr="001F3983">
        <w:tc>
          <w:tcPr>
            <w:tcW w:w="6623" w:type="dxa"/>
          </w:tcPr>
          <w:p w14:paraId="0EBD4F4B" w14:textId="3EC32ED3" w:rsidR="00E57103" w:rsidRDefault="00E57103" w:rsidP="00C0708A">
            <w:pPr>
              <w:pStyle w:val="Tabletext"/>
              <w:rPr>
                <w:lang w:val="en-US" w:eastAsia="nl-NL"/>
              </w:rPr>
            </w:pPr>
            <w:r>
              <w:rPr>
                <w:lang w:val="en-US" w:eastAsia="nl-NL"/>
              </w:rPr>
              <w:t xml:space="preserve">Impairment of </w:t>
            </w:r>
            <w:r w:rsidRPr="00594FCF">
              <w:rPr>
                <w:lang w:val="en-US" w:eastAsia="nl-NL"/>
              </w:rPr>
              <w:t xml:space="preserve">property, plant </w:t>
            </w:r>
            <w:r>
              <w:rPr>
                <w:lang w:val="en-US" w:eastAsia="nl-NL"/>
              </w:rPr>
              <w:t>and</w:t>
            </w:r>
            <w:r w:rsidRPr="00594FCF">
              <w:rPr>
                <w:lang w:val="en-US" w:eastAsia="nl-NL"/>
              </w:rPr>
              <w:t xml:space="preserve"> equipment</w:t>
            </w:r>
            <w:r w:rsidR="00C0708A">
              <w:rPr>
                <w:lang w:val="en-US" w:eastAsia="nl-NL"/>
              </w:rPr>
              <w:t xml:space="preserve"> </w:t>
            </w:r>
          </w:p>
        </w:tc>
        <w:tc>
          <w:tcPr>
            <w:tcW w:w="1220" w:type="dxa"/>
            <w:shd w:val="clear" w:color="auto" w:fill="EFF4F5"/>
            <w:vAlign w:val="bottom"/>
          </w:tcPr>
          <w:p w14:paraId="0F979AA9" w14:textId="2C88D1C9" w:rsidR="00E57103" w:rsidRPr="00B626AD" w:rsidRDefault="00E57103" w:rsidP="00B626AD">
            <w:pPr>
              <w:pStyle w:val="Tabletext"/>
              <w:jc w:val="right"/>
              <w:rPr>
                <w:b/>
              </w:rPr>
            </w:pPr>
            <w:r>
              <w:rPr>
                <w:b/>
              </w:rPr>
              <w:t>11.2</w:t>
            </w:r>
          </w:p>
        </w:tc>
        <w:tc>
          <w:tcPr>
            <w:tcW w:w="1214" w:type="dxa"/>
            <w:vAlign w:val="bottom"/>
          </w:tcPr>
          <w:p w14:paraId="4614F187" w14:textId="20C2DCD9" w:rsidR="00E57103" w:rsidRPr="00E57103" w:rsidRDefault="00E57103" w:rsidP="00B626AD">
            <w:pPr>
              <w:pStyle w:val="Tabletext"/>
              <w:jc w:val="right"/>
            </w:pPr>
            <w:r w:rsidRPr="00E57103">
              <w:t>–</w:t>
            </w:r>
          </w:p>
        </w:tc>
      </w:tr>
      <w:tr w:rsidR="006017F8" w:rsidRPr="00594FCF" w14:paraId="209759B1" w14:textId="77777777" w:rsidTr="001F3983">
        <w:tc>
          <w:tcPr>
            <w:tcW w:w="6623" w:type="dxa"/>
          </w:tcPr>
          <w:p w14:paraId="27161E26" w14:textId="77777777" w:rsidR="006017F8" w:rsidRPr="00594FCF" w:rsidRDefault="006017F8" w:rsidP="00B626AD">
            <w:pPr>
              <w:pStyle w:val="Tabletext"/>
              <w:rPr>
                <w:lang w:val="en-US" w:eastAsia="nl-NL"/>
              </w:rPr>
            </w:pPr>
            <w:r>
              <w:rPr>
                <w:lang w:val="en-US" w:eastAsia="nl-NL"/>
              </w:rPr>
              <w:t>Impairment of intangible assets</w:t>
            </w:r>
          </w:p>
        </w:tc>
        <w:tc>
          <w:tcPr>
            <w:tcW w:w="1220" w:type="dxa"/>
            <w:shd w:val="clear" w:color="auto" w:fill="EFF4F5"/>
            <w:vAlign w:val="bottom"/>
          </w:tcPr>
          <w:p w14:paraId="168F52A0" w14:textId="3414E5DB" w:rsidR="006017F8" w:rsidRPr="00B626AD" w:rsidRDefault="00E57103" w:rsidP="00B626AD">
            <w:pPr>
              <w:pStyle w:val="Tabletext"/>
              <w:jc w:val="right"/>
              <w:rPr>
                <w:b/>
              </w:rPr>
            </w:pPr>
            <w:r w:rsidRPr="002649F3">
              <w:rPr>
                <w:b/>
              </w:rPr>
              <w:t>–</w:t>
            </w:r>
          </w:p>
        </w:tc>
        <w:tc>
          <w:tcPr>
            <w:tcW w:w="1214" w:type="dxa"/>
            <w:vAlign w:val="bottom"/>
          </w:tcPr>
          <w:p w14:paraId="13618E28" w14:textId="46DE0B01" w:rsidR="006017F8" w:rsidRPr="006017F8" w:rsidRDefault="006017F8" w:rsidP="00B626AD">
            <w:pPr>
              <w:pStyle w:val="Tabletext"/>
              <w:jc w:val="right"/>
            </w:pPr>
            <w:r w:rsidRPr="006017F8">
              <w:t>1.0</w:t>
            </w:r>
          </w:p>
        </w:tc>
      </w:tr>
      <w:tr w:rsidR="006017F8" w:rsidRPr="00594FCF" w14:paraId="4FBEDC07" w14:textId="77777777" w:rsidTr="00B626AD">
        <w:tc>
          <w:tcPr>
            <w:tcW w:w="6623" w:type="dxa"/>
            <w:tcBorders>
              <w:bottom w:val="single" w:sz="4" w:space="0" w:color="93B7BB"/>
            </w:tcBorders>
          </w:tcPr>
          <w:p w14:paraId="6093CACC" w14:textId="77777777" w:rsidR="006017F8" w:rsidRPr="00594FCF" w:rsidRDefault="006017F8" w:rsidP="00B626AD">
            <w:pPr>
              <w:pStyle w:val="Tabletext"/>
            </w:pPr>
            <w:r w:rsidRPr="00594FCF">
              <w:rPr>
                <w:lang w:val="en-US" w:eastAsia="nl-NL"/>
              </w:rPr>
              <w:t xml:space="preserve">Staff costs </w:t>
            </w:r>
          </w:p>
        </w:tc>
        <w:tc>
          <w:tcPr>
            <w:tcW w:w="1220" w:type="dxa"/>
            <w:tcBorders>
              <w:bottom w:val="single" w:sz="4" w:space="0" w:color="93B7BB"/>
            </w:tcBorders>
            <w:shd w:val="clear" w:color="auto" w:fill="EFF4F5"/>
            <w:vAlign w:val="bottom"/>
          </w:tcPr>
          <w:p w14:paraId="20D7CF13" w14:textId="17E4E4BD" w:rsidR="006017F8" w:rsidRPr="00B626AD" w:rsidRDefault="00E57103" w:rsidP="00B626AD">
            <w:pPr>
              <w:pStyle w:val="Tabletext"/>
              <w:jc w:val="right"/>
              <w:rPr>
                <w:b/>
              </w:rPr>
            </w:pPr>
            <w:r>
              <w:rPr>
                <w:b/>
              </w:rPr>
              <w:t>253.0</w:t>
            </w:r>
          </w:p>
        </w:tc>
        <w:tc>
          <w:tcPr>
            <w:tcW w:w="1214" w:type="dxa"/>
            <w:tcBorders>
              <w:bottom w:val="single" w:sz="4" w:space="0" w:color="93B7BB"/>
            </w:tcBorders>
            <w:vAlign w:val="bottom"/>
          </w:tcPr>
          <w:p w14:paraId="122FD303" w14:textId="222C979F" w:rsidR="006017F8" w:rsidRPr="006017F8" w:rsidRDefault="006017F8" w:rsidP="00B626AD">
            <w:pPr>
              <w:pStyle w:val="Tabletext"/>
              <w:jc w:val="right"/>
            </w:pPr>
            <w:r w:rsidRPr="006017F8">
              <w:t>285.9</w:t>
            </w:r>
          </w:p>
        </w:tc>
      </w:tr>
    </w:tbl>
    <w:p w14:paraId="680BCC63" w14:textId="77777777" w:rsidR="00725EE9" w:rsidRPr="00594FCF" w:rsidRDefault="00725EE9" w:rsidP="00B626AD">
      <w:pPr>
        <w:pStyle w:val="Footnote"/>
      </w:pPr>
    </w:p>
    <w:p w14:paraId="27ACD59F" w14:textId="3B31D0AC" w:rsidR="00725EE9" w:rsidRPr="00594FCF" w:rsidRDefault="00364452" w:rsidP="00364452">
      <w:pPr>
        <w:pStyle w:val="Heading3"/>
      </w:pPr>
      <w:r>
        <w:t xml:space="preserve">6. </w:t>
      </w:r>
      <w:r w:rsidR="00725EE9" w:rsidRPr="00594FCF">
        <w:t>Segmental reporting</w:t>
      </w:r>
    </w:p>
    <w:p w14:paraId="2C8BFE91" w14:textId="77DB45F3" w:rsidR="00725EE9" w:rsidRPr="00594FCF" w:rsidRDefault="00725EE9" w:rsidP="001B45E4">
      <w:pPr>
        <w:jc w:val="both"/>
      </w:pPr>
      <w:r w:rsidRPr="00594FCF">
        <w:t xml:space="preserve">In determining </w:t>
      </w:r>
      <w:r w:rsidRPr="00B626AD">
        <w:t>the</w:t>
      </w:r>
      <w:r w:rsidRPr="00594FCF">
        <w:t xml:space="preserve"> Group's operating segment, management has primarily considered the financial information in the internal reports that are reviewed and used by the executive management team and the Board of Directors (in aggregate the chief operating decision maker) in assessing performance and in determining the allocation of resources. The financial information in those internal reports in respect of revenue and expenses has led management to conclude that the Group has a single operating segment, being the provision of healthcare services.</w:t>
      </w:r>
    </w:p>
    <w:p w14:paraId="11B1D74C" w14:textId="77777777" w:rsidR="00725EE9" w:rsidRPr="00594FCF" w:rsidRDefault="00725EE9" w:rsidP="001B45E4">
      <w:pPr>
        <w:jc w:val="both"/>
      </w:pPr>
      <w:r w:rsidRPr="00594FCF">
        <w:t>All revenue is attributable to and all non-current assets are located in the United Kingdom.</w:t>
      </w:r>
    </w:p>
    <w:p w14:paraId="6E9D312F" w14:textId="3AFAA9AE" w:rsidR="00725EE9" w:rsidRPr="00594FCF" w:rsidRDefault="00CC62B0" w:rsidP="001B45E4">
      <w:pPr>
        <w:jc w:val="both"/>
      </w:pPr>
      <w:r>
        <w:t>R</w:t>
      </w:r>
      <w:r w:rsidR="00725EE9" w:rsidRPr="00594FCF">
        <w:t>evenue by wider customer (</w:t>
      </w:r>
      <w:proofErr w:type="spellStart"/>
      <w:r w:rsidR="00725EE9" w:rsidRPr="00594FCF">
        <w:t>payor</w:t>
      </w:r>
      <w:proofErr w:type="spellEnd"/>
      <w:r w:rsidR="00725EE9" w:rsidRPr="00594FCF">
        <w:t>) group is shown below:</w:t>
      </w:r>
    </w:p>
    <w:tbl>
      <w:tblPr>
        <w:tblW w:w="9072" w:type="dxa"/>
        <w:tblLayout w:type="fixed"/>
        <w:tblCellMar>
          <w:left w:w="0" w:type="dxa"/>
          <w:right w:w="57" w:type="dxa"/>
        </w:tblCellMar>
        <w:tblLook w:val="0000" w:firstRow="0" w:lastRow="0" w:firstColumn="0" w:lastColumn="0" w:noHBand="0" w:noVBand="0"/>
      </w:tblPr>
      <w:tblGrid>
        <w:gridCol w:w="6634"/>
        <w:gridCol w:w="1222"/>
        <w:gridCol w:w="1216"/>
      </w:tblGrid>
      <w:tr w:rsidR="00B626AD" w:rsidRPr="00594FCF" w14:paraId="1893C804" w14:textId="77777777" w:rsidTr="006017F8">
        <w:tc>
          <w:tcPr>
            <w:tcW w:w="6634" w:type="dxa"/>
            <w:tcBorders>
              <w:bottom w:val="single" w:sz="4" w:space="0" w:color="93B7BB"/>
            </w:tcBorders>
            <w:vAlign w:val="bottom"/>
          </w:tcPr>
          <w:p w14:paraId="1F74C938" w14:textId="77777777" w:rsidR="00B626AD" w:rsidRPr="00B626AD" w:rsidRDefault="00B626AD" w:rsidP="00B626AD">
            <w:pPr>
              <w:pStyle w:val="Tableheading"/>
            </w:pPr>
            <w:r w:rsidRPr="00B626AD">
              <w:t>(£ million)</w:t>
            </w:r>
          </w:p>
        </w:tc>
        <w:tc>
          <w:tcPr>
            <w:tcW w:w="1222" w:type="dxa"/>
            <w:tcBorders>
              <w:bottom w:val="single" w:sz="4" w:space="0" w:color="93B7BB"/>
            </w:tcBorders>
            <w:vAlign w:val="bottom"/>
          </w:tcPr>
          <w:p w14:paraId="5E58279C" w14:textId="379A84FA" w:rsidR="00B626AD" w:rsidRPr="00B626AD" w:rsidRDefault="00B626AD" w:rsidP="006017F8">
            <w:pPr>
              <w:pStyle w:val="Tableheading"/>
              <w:jc w:val="right"/>
              <w:rPr>
                <w:b/>
              </w:rPr>
            </w:pPr>
            <w:r w:rsidRPr="00B626AD">
              <w:rPr>
                <w:b/>
              </w:rPr>
              <w:t>201</w:t>
            </w:r>
            <w:r w:rsidR="006017F8">
              <w:rPr>
                <w:b/>
              </w:rPr>
              <w:t>5</w:t>
            </w:r>
          </w:p>
        </w:tc>
        <w:tc>
          <w:tcPr>
            <w:tcW w:w="1216" w:type="dxa"/>
            <w:tcBorders>
              <w:bottom w:val="single" w:sz="4" w:space="0" w:color="93B7BB"/>
            </w:tcBorders>
            <w:vAlign w:val="bottom"/>
          </w:tcPr>
          <w:p w14:paraId="76F46356" w14:textId="28A340A4" w:rsidR="00B626AD" w:rsidRPr="00B626AD" w:rsidRDefault="00B626AD" w:rsidP="006017F8">
            <w:pPr>
              <w:pStyle w:val="Tableheading"/>
              <w:jc w:val="right"/>
            </w:pPr>
            <w:r w:rsidRPr="00B626AD">
              <w:t>201</w:t>
            </w:r>
            <w:r w:rsidR="006017F8">
              <w:t>4</w:t>
            </w:r>
          </w:p>
        </w:tc>
      </w:tr>
      <w:tr w:rsidR="006017F8" w:rsidRPr="00594FCF" w14:paraId="09EADF34" w14:textId="77777777" w:rsidTr="006017F8">
        <w:tc>
          <w:tcPr>
            <w:tcW w:w="6634" w:type="dxa"/>
            <w:tcBorders>
              <w:top w:val="single" w:sz="4" w:space="0" w:color="93B7BB"/>
            </w:tcBorders>
          </w:tcPr>
          <w:p w14:paraId="786CF8F9" w14:textId="77777777" w:rsidR="006017F8" w:rsidRPr="00594FCF" w:rsidRDefault="006017F8" w:rsidP="00B626AD">
            <w:pPr>
              <w:pStyle w:val="Tabletext"/>
              <w:rPr>
                <w:lang w:val="en-US" w:eastAsia="nl-NL"/>
              </w:rPr>
            </w:pPr>
            <w:r w:rsidRPr="00594FCF">
              <w:rPr>
                <w:lang w:val="en-US" w:eastAsia="nl-NL"/>
              </w:rPr>
              <w:t>Insured</w:t>
            </w:r>
          </w:p>
        </w:tc>
        <w:tc>
          <w:tcPr>
            <w:tcW w:w="1222" w:type="dxa"/>
            <w:tcBorders>
              <w:top w:val="single" w:sz="4" w:space="0" w:color="93B7BB"/>
            </w:tcBorders>
            <w:shd w:val="clear" w:color="auto" w:fill="EFF4F5"/>
            <w:vAlign w:val="bottom"/>
          </w:tcPr>
          <w:p w14:paraId="07985927" w14:textId="500191D1" w:rsidR="006017F8" w:rsidRPr="00B626AD" w:rsidRDefault="00FC0E45" w:rsidP="00B626AD">
            <w:pPr>
              <w:pStyle w:val="Tabletext"/>
              <w:jc w:val="right"/>
              <w:rPr>
                <w:b/>
              </w:rPr>
            </w:pPr>
            <w:r>
              <w:rPr>
                <w:b/>
              </w:rPr>
              <w:t>434.8</w:t>
            </w:r>
          </w:p>
        </w:tc>
        <w:tc>
          <w:tcPr>
            <w:tcW w:w="1216" w:type="dxa"/>
            <w:tcBorders>
              <w:top w:val="single" w:sz="4" w:space="0" w:color="93B7BB"/>
            </w:tcBorders>
            <w:vAlign w:val="bottom"/>
          </w:tcPr>
          <w:p w14:paraId="7AA0E7D5" w14:textId="42028266" w:rsidR="006017F8" w:rsidRPr="006017F8" w:rsidRDefault="006017F8" w:rsidP="00B626AD">
            <w:pPr>
              <w:pStyle w:val="Tabletext"/>
              <w:jc w:val="right"/>
            </w:pPr>
            <w:r w:rsidRPr="006017F8">
              <w:t>432.4</w:t>
            </w:r>
          </w:p>
        </w:tc>
      </w:tr>
      <w:tr w:rsidR="006017F8" w:rsidRPr="00594FCF" w14:paraId="4B5CD12F" w14:textId="77777777" w:rsidTr="006017F8">
        <w:tc>
          <w:tcPr>
            <w:tcW w:w="6634" w:type="dxa"/>
          </w:tcPr>
          <w:p w14:paraId="12817515" w14:textId="77777777" w:rsidR="006017F8" w:rsidRPr="00594FCF" w:rsidRDefault="006017F8" w:rsidP="00B626AD">
            <w:pPr>
              <w:pStyle w:val="Tabletext"/>
              <w:rPr>
                <w:lang w:val="en-US" w:eastAsia="nl-NL"/>
              </w:rPr>
            </w:pPr>
            <w:r w:rsidRPr="00594FCF">
              <w:rPr>
                <w:lang w:val="en-US" w:eastAsia="nl-NL"/>
              </w:rPr>
              <w:t>NHS</w:t>
            </w:r>
          </w:p>
        </w:tc>
        <w:tc>
          <w:tcPr>
            <w:tcW w:w="1222" w:type="dxa"/>
            <w:shd w:val="clear" w:color="auto" w:fill="EFF4F5"/>
            <w:vAlign w:val="bottom"/>
          </w:tcPr>
          <w:p w14:paraId="0B755A09" w14:textId="6743E859" w:rsidR="006017F8" w:rsidRPr="00B626AD" w:rsidRDefault="00FC0E45" w:rsidP="00B626AD">
            <w:pPr>
              <w:pStyle w:val="Tabletext"/>
              <w:jc w:val="right"/>
              <w:rPr>
                <w:b/>
              </w:rPr>
            </w:pPr>
            <w:r>
              <w:rPr>
                <w:b/>
              </w:rPr>
              <w:t>262.0</w:t>
            </w:r>
          </w:p>
        </w:tc>
        <w:tc>
          <w:tcPr>
            <w:tcW w:w="1216" w:type="dxa"/>
            <w:vAlign w:val="bottom"/>
          </w:tcPr>
          <w:p w14:paraId="300BAF9C" w14:textId="4D40308B" w:rsidR="006017F8" w:rsidRPr="006017F8" w:rsidRDefault="006017F8" w:rsidP="00B626AD">
            <w:pPr>
              <w:pStyle w:val="Tabletext"/>
              <w:jc w:val="right"/>
            </w:pPr>
            <w:r w:rsidRPr="006017F8">
              <w:t>245.9</w:t>
            </w:r>
          </w:p>
        </w:tc>
      </w:tr>
      <w:tr w:rsidR="006017F8" w:rsidRPr="00594FCF" w14:paraId="7C7104B9" w14:textId="77777777" w:rsidTr="006017F8">
        <w:tc>
          <w:tcPr>
            <w:tcW w:w="6634" w:type="dxa"/>
          </w:tcPr>
          <w:p w14:paraId="42D1C5ED" w14:textId="77777777" w:rsidR="006017F8" w:rsidRPr="00594FCF" w:rsidRDefault="006017F8" w:rsidP="00B626AD">
            <w:pPr>
              <w:pStyle w:val="Tabletext"/>
              <w:rPr>
                <w:lang w:val="en-US" w:eastAsia="nl-NL"/>
              </w:rPr>
            </w:pPr>
            <w:r w:rsidRPr="00594FCF">
              <w:rPr>
                <w:lang w:val="en-US" w:eastAsia="nl-NL"/>
              </w:rPr>
              <w:t>Self-pay</w:t>
            </w:r>
          </w:p>
        </w:tc>
        <w:tc>
          <w:tcPr>
            <w:tcW w:w="1222" w:type="dxa"/>
            <w:shd w:val="clear" w:color="auto" w:fill="EFF4F5"/>
            <w:vAlign w:val="bottom"/>
          </w:tcPr>
          <w:p w14:paraId="04A2E460" w14:textId="33358DFA" w:rsidR="006017F8" w:rsidRPr="00B626AD" w:rsidRDefault="00FC0E45" w:rsidP="00B626AD">
            <w:pPr>
              <w:pStyle w:val="Tabletext"/>
              <w:jc w:val="right"/>
              <w:rPr>
                <w:b/>
              </w:rPr>
            </w:pPr>
            <w:r>
              <w:rPr>
                <w:b/>
              </w:rPr>
              <w:t>156.2</w:t>
            </w:r>
          </w:p>
        </w:tc>
        <w:tc>
          <w:tcPr>
            <w:tcW w:w="1216" w:type="dxa"/>
            <w:vAlign w:val="bottom"/>
          </w:tcPr>
          <w:p w14:paraId="781FF117" w14:textId="5338C14F" w:rsidR="006017F8" w:rsidRPr="006017F8" w:rsidRDefault="006017F8" w:rsidP="00B626AD">
            <w:pPr>
              <w:pStyle w:val="Tabletext"/>
              <w:jc w:val="right"/>
            </w:pPr>
            <w:r w:rsidRPr="006017F8">
              <w:t>146.1</w:t>
            </w:r>
          </w:p>
        </w:tc>
      </w:tr>
      <w:tr w:rsidR="006017F8" w:rsidRPr="00594FCF" w14:paraId="0867F1CD" w14:textId="77777777" w:rsidTr="006017F8">
        <w:tc>
          <w:tcPr>
            <w:tcW w:w="6634" w:type="dxa"/>
            <w:tcBorders>
              <w:bottom w:val="single" w:sz="4" w:space="0" w:color="93B7BB"/>
            </w:tcBorders>
          </w:tcPr>
          <w:p w14:paraId="16CF39B3" w14:textId="77777777" w:rsidR="006017F8" w:rsidRPr="00594FCF" w:rsidRDefault="006017F8" w:rsidP="00B626AD">
            <w:pPr>
              <w:pStyle w:val="Tabletext"/>
              <w:rPr>
                <w:lang w:val="en-US" w:eastAsia="nl-NL"/>
              </w:rPr>
            </w:pPr>
            <w:r w:rsidRPr="00594FCF">
              <w:rPr>
                <w:lang w:val="en-US" w:eastAsia="nl-NL"/>
              </w:rPr>
              <w:t>Other</w:t>
            </w:r>
          </w:p>
        </w:tc>
        <w:tc>
          <w:tcPr>
            <w:tcW w:w="1222" w:type="dxa"/>
            <w:tcBorders>
              <w:bottom w:val="single" w:sz="4" w:space="0" w:color="93B7BB"/>
            </w:tcBorders>
            <w:shd w:val="clear" w:color="auto" w:fill="EFF4F5"/>
            <w:vAlign w:val="bottom"/>
          </w:tcPr>
          <w:p w14:paraId="26E551AF" w14:textId="28947C06" w:rsidR="006017F8" w:rsidRPr="00B626AD" w:rsidRDefault="00FC0E45" w:rsidP="00B626AD">
            <w:pPr>
              <w:pStyle w:val="Tabletext"/>
              <w:jc w:val="right"/>
              <w:rPr>
                <w:b/>
              </w:rPr>
            </w:pPr>
            <w:r>
              <w:rPr>
                <w:b/>
              </w:rPr>
              <w:t>31.8</w:t>
            </w:r>
          </w:p>
        </w:tc>
        <w:tc>
          <w:tcPr>
            <w:tcW w:w="1216" w:type="dxa"/>
            <w:tcBorders>
              <w:bottom w:val="single" w:sz="4" w:space="0" w:color="93B7BB"/>
            </w:tcBorders>
            <w:vAlign w:val="bottom"/>
          </w:tcPr>
          <w:p w14:paraId="467B6F41" w14:textId="58A80B6D" w:rsidR="006017F8" w:rsidRPr="006017F8" w:rsidRDefault="006017F8" w:rsidP="00B626AD">
            <w:pPr>
              <w:pStyle w:val="Tabletext"/>
              <w:jc w:val="right"/>
            </w:pPr>
            <w:r w:rsidRPr="006017F8">
              <w:t>31.6</w:t>
            </w:r>
          </w:p>
        </w:tc>
      </w:tr>
      <w:tr w:rsidR="006017F8" w:rsidRPr="00594FCF" w14:paraId="3E91D590" w14:textId="77777777" w:rsidTr="006017F8">
        <w:tc>
          <w:tcPr>
            <w:tcW w:w="6634" w:type="dxa"/>
            <w:tcBorders>
              <w:top w:val="single" w:sz="4" w:space="0" w:color="93B7BB"/>
              <w:bottom w:val="single" w:sz="4" w:space="0" w:color="93B7BB"/>
            </w:tcBorders>
          </w:tcPr>
          <w:p w14:paraId="16B3E924" w14:textId="77777777" w:rsidR="006017F8" w:rsidRPr="00594FCF" w:rsidRDefault="006017F8" w:rsidP="00B626AD">
            <w:pPr>
              <w:pStyle w:val="Tabletext"/>
            </w:pPr>
            <w:r w:rsidRPr="00594FCF">
              <w:t>Total</w:t>
            </w:r>
          </w:p>
        </w:tc>
        <w:tc>
          <w:tcPr>
            <w:tcW w:w="1222" w:type="dxa"/>
            <w:tcBorders>
              <w:top w:val="single" w:sz="4" w:space="0" w:color="93B7BB"/>
              <w:bottom w:val="single" w:sz="4" w:space="0" w:color="93B7BB"/>
            </w:tcBorders>
            <w:shd w:val="clear" w:color="auto" w:fill="EFF4F5"/>
            <w:vAlign w:val="bottom"/>
          </w:tcPr>
          <w:p w14:paraId="0F03CF3E" w14:textId="6366C19A" w:rsidR="006017F8" w:rsidRPr="00B626AD" w:rsidRDefault="00FC0E45" w:rsidP="00B626AD">
            <w:pPr>
              <w:pStyle w:val="Tabletext"/>
              <w:jc w:val="right"/>
              <w:rPr>
                <w:b/>
              </w:rPr>
            </w:pPr>
            <w:r>
              <w:rPr>
                <w:b/>
              </w:rPr>
              <w:t>884.8</w:t>
            </w:r>
          </w:p>
        </w:tc>
        <w:tc>
          <w:tcPr>
            <w:tcW w:w="1216" w:type="dxa"/>
            <w:tcBorders>
              <w:top w:val="single" w:sz="4" w:space="0" w:color="93B7BB"/>
              <w:bottom w:val="single" w:sz="4" w:space="0" w:color="93B7BB"/>
            </w:tcBorders>
            <w:vAlign w:val="bottom"/>
          </w:tcPr>
          <w:p w14:paraId="203223BD" w14:textId="2D61F219" w:rsidR="006017F8" w:rsidRPr="006017F8" w:rsidRDefault="006017F8" w:rsidP="00B626AD">
            <w:pPr>
              <w:pStyle w:val="Tabletext"/>
              <w:jc w:val="right"/>
            </w:pPr>
            <w:r w:rsidRPr="006017F8">
              <w:t>856.0</w:t>
            </w:r>
          </w:p>
        </w:tc>
      </w:tr>
    </w:tbl>
    <w:p w14:paraId="7BBACF39" w14:textId="77777777" w:rsidR="00B22F3C" w:rsidRDefault="00B22F3C" w:rsidP="00B626AD">
      <w:pPr>
        <w:pStyle w:val="Footnote"/>
      </w:pPr>
    </w:p>
    <w:p w14:paraId="48ACBCB6" w14:textId="4E098FAC" w:rsidR="00725EE9" w:rsidRPr="00594FCF" w:rsidRDefault="00364452" w:rsidP="00364452">
      <w:pPr>
        <w:pStyle w:val="Heading3"/>
      </w:pPr>
      <w:r>
        <w:t xml:space="preserve">7. </w:t>
      </w:r>
      <w:r w:rsidR="00725EE9" w:rsidRPr="00594FCF">
        <w:t>Exceptional items</w:t>
      </w:r>
    </w:p>
    <w:tbl>
      <w:tblPr>
        <w:tblW w:w="9072" w:type="dxa"/>
        <w:tblLayout w:type="fixed"/>
        <w:tblCellMar>
          <w:left w:w="0" w:type="dxa"/>
          <w:right w:w="57" w:type="dxa"/>
        </w:tblCellMar>
        <w:tblLook w:val="0000" w:firstRow="0" w:lastRow="0" w:firstColumn="0" w:lastColumn="0" w:noHBand="0" w:noVBand="0"/>
      </w:tblPr>
      <w:tblGrid>
        <w:gridCol w:w="6634"/>
        <w:gridCol w:w="1222"/>
        <w:gridCol w:w="1216"/>
      </w:tblGrid>
      <w:tr w:rsidR="00B626AD" w:rsidRPr="00594FCF" w14:paraId="18A2F339" w14:textId="77777777" w:rsidTr="009E2D7C">
        <w:tc>
          <w:tcPr>
            <w:tcW w:w="6634" w:type="dxa"/>
            <w:tcBorders>
              <w:bottom w:val="single" w:sz="4" w:space="0" w:color="93B7BB"/>
            </w:tcBorders>
            <w:vAlign w:val="bottom"/>
          </w:tcPr>
          <w:p w14:paraId="25D06776" w14:textId="77777777" w:rsidR="00B626AD" w:rsidRPr="00B626AD" w:rsidRDefault="00B626AD" w:rsidP="00B626AD">
            <w:pPr>
              <w:pStyle w:val="Tableheading"/>
            </w:pPr>
            <w:r w:rsidRPr="00B626AD">
              <w:t>(£ million)</w:t>
            </w:r>
          </w:p>
        </w:tc>
        <w:tc>
          <w:tcPr>
            <w:tcW w:w="1222" w:type="dxa"/>
            <w:tcBorders>
              <w:bottom w:val="single" w:sz="4" w:space="0" w:color="93B7BB"/>
            </w:tcBorders>
            <w:vAlign w:val="bottom"/>
          </w:tcPr>
          <w:p w14:paraId="471DEF6F" w14:textId="4BCCEBA2" w:rsidR="00B626AD" w:rsidRPr="00B626AD" w:rsidRDefault="00B626AD" w:rsidP="009E2D7C">
            <w:pPr>
              <w:pStyle w:val="Tableheading"/>
              <w:jc w:val="right"/>
              <w:rPr>
                <w:b/>
              </w:rPr>
            </w:pPr>
            <w:r w:rsidRPr="00B626AD">
              <w:rPr>
                <w:b/>
              </w:rPr>
              <w:t>201</w:t>
            </w:r>
            <w:r w:rsidR="009E2D7C">
              <w:rPr>
                <w:b/>
              </w:rPr>
              <w:t>5</w:t>
            </w:r>
          </w:p>
        </w:tc>
        <w:tc>
          <w:tcPr>
            <w:tcW w:w="1216" w:type="dxa"/>
            <w:tcBorders>
              <w:bottom w:val="single" w:sz="4" w:space="0" w:color="93B7BB"/>
            </w:tcBorders>
            <w:vAlign w:val="bottom"/>
          </w:tcPr>
          <w:p w14:paraId="62775FCC" w14:textId="1B436C6F" w:rsidR="00B626AD" w:rsidRPr="00B626AD" w:rsidRDefault="00B626AD" w:rsidP="009E2D7C">
            <w:pPr>
              <w:pStyle w:val="Tableheading"/>
              <w:jc w:val="right"/>
            </w:pPr>
            <w:r w:rsidRPr="00B626AD">
              <w:t>201</w:t>
            </w:r>
            <w:r w:rsidR="009E2D7C">
              <w:t>4</w:t>
            </w:r>
          </w:p>
        </w:tc>
      </w:tr>
      <w:tr w:rsidR="00716EDB" w:rsidRPr="00594FCF" w14:paraId="652D1C1E" w14:textId="77777777" w:rsidTr="009E2D7C">
        <w:tc>
          <w:tcPr>
            <w:tcW w:w="6634" w:type="dxa"/>
            <w:tcBorders>
              <w:top w:val="single" w:sz="4" w:space="0" w:color="93B7BB"/>
            </w:tcBorders>
          </w:tcPr>
          <w:p w14:paraId="3E598A94" w14:textId="77777777" w:rsidR="00725EE9" w:rsidRPr="00594FCF" w:rsidRDefault="00725EE9" w:rsidP="00B626AD">
            <w:pPr>
              <w:pStyle w:val="Tabletext"/>
            </w:pPr>
            <w:r w:rsidRPr="00594FCF">
              <w:rPr>
                <w:lang w:val="en-US" w:eastAsia="nl-NL"/>
              </w:rPr>
              <w:t>Initial Public Offering (‘IPO’) related:</w:t>
            </w:r>
          </w:p>
        </w:tc>
        <w:tc>
          <w:tcPr>
            <w:tcW w:w="1222" w:type="dxa"/>
            <w:tcBorders>
              <w:top w:val="single" w:sz="4" w:space="0" w:color="93B7BB"/>
            </w:tcBorders>
            <w:shd w:val="clear" w:color="auto" w:fill="EFF4F5"/>
            <w:vAlign w:val="bottom"/>
          </w:tcPr>
          <w:p w14:paraId="0C262470" w14:textId="77777777" w:rsidR="00725EE9" w:rsidRPr="00B626AD" w:rsidRDefault="00725EE9" w:rsidP="00B626AD">
            <w:pPr>
              <w:pStyle w:val="Tabletext"/>
              <w:jc w:val="right"/>
              <w:rPr>
                <w:b/>
              </w:rPr>
            </w:pPr>
          </w:p>
        </w:tc>
        <w:tc>
          <w:tcPr>
            <w:tcW w:w="1216" w:type="dxa"/>
            <w:tcBorders>
              <w:top w:val="single" w:sz="4" w:space="0" w:color="93B7BB"/>
            </w:tcBorders>
            <w:vAlign w:val="bottom"/>
          </w:tcPr>
          <w:p w14:paraId="2E5099E8" w14:textId="77777777" w:rsidR="00725EE9" w:rsidRPr="00594FCF" w:rsidRDefault="00725EE9" w:rsidP="00B626AD">
            <w:pPr>
              <w:pStyle w:val="Tabletext"/>
              <w:jc w:val="right"/>
            </w:pPr>
          </w:p>
        </w:tc>
      </w:tr>
      <w:tr w:rsidR="009E2D7C" w:rsidRPr="00594FCF" w14:paraId="524A3DB9" w14:textId="77777777" w:rsidTr="009E2D7C">
        <w:tc>
          <w:tcPr>
            <w:tcW w:w="6634" w:type="dxa"/>
          </w:tcPr>
          <w:p w14:paraId="0E9C85A4" w14:textId="77777777" w:rsidR="009E2D7C" w:rsidRPr="00594FCF" w:rsidRDefault="009E2D7C" w:rsidP="00B626AD">
            <w:pPr>
              <w:pStyle w:val="Tabletext"/>
              <w:rPr>
                <w:lang w:val="en-US" w:eastAsia="nl-NL"/>
              </w:rPr>
            </w:pPr>
            <w:r w:rsidRPr="00594FCF">
              <w:rPr>
                <w:lang w:val="en-US" w:eastAsia="nl-NL"/>
              </w:rPr>
              <w:t>Costs incurred in relation to the IPO</w:t>
            </w:r>
          </w:p>
        </w:tc>
        <w:tc>
          <w:tcPr>
            <w:tcW w:w="1222" w:type="dxa"/>
            <w:shd w:val="clear" w:color="auto" w:fill="EFF4F5"/>
            <w:vAlign w:val="bottom"/>
          </w:tcPr>
          <w:p w14:paraId="25BF96C8" w14:textId="7166C8F6" w:rsidR="009E2D7C" w:rsidRPr="000B5CE0" w:rsidRDefault="000B5CE0" w:rsidP="00B626AD">
            <w:pPr>
              <w:pStyle w:val="Tabletext"/>
              <w:jc w:val="right"/>
              <w:rPr>
                <w:b/>
              </w:rPr>
            </w:pPr>
            <w:r w:rsidRPr="000B5CE0">
              <w:rPr>
                <w:b/>
              </w:rPr>
              <w:t>–</w:t>
            </w:r>
          </w:p>
        </w:tc>
        <w:tc>
          <w:tcPr>
            <w:tcW w:w="1216" w:type="dxa"/>
            <w:vAlign w:val="bottom"/>
          </w:tcPr>
          <w:p w14:paraId="420844F5" w14:textId="2B72F4B4" w:rsidR="009E2D7C" w:rsidRPr="009E2D7C" w:rsidRDefault="009E2D7C" w:rsidP="00B626AD">
            <w:pPr>
              <w:pStyle w:val="Tabletext"/>
              <w:jc w:val="right"/>
            </w:pPr>
            <w:r w:rsidRPr="009E2D7C">
              <w:t>43.6</w:t>
            </w:r>
          </w:p>
        </w:tc>
      </w:tr>
      <w:tr w:rsidR="009E2D7C" w:rsidRPr="00594FCF" w14:paraId="01F97F11" w14:textId="77777777" w:rsidTr="009E2D7C">
        <w:tc>
          <w:tcPr>
            <w:tcW w:w="6634" w:type="dxa"/>
            <w:tcBorders>
              <w:bottom w:val="single" w:sz="4" w:space="0" w:color="93B7BB"/>
            </w:tcBorders>
          </w:tcPr>
          <w:p w14:paraId="052ED06E" w14:textId="06100C5A" w:rsidR="009E2D7C" w:rsidRPr="00594FCF" w:rsidRDefault="009E2D7C" w:rsidP="00AC011A">
            <w:pPr>
              <w:pStyle w:val="Tabletext"/>
              <w:rPr>
                <w:lang w:val="en-US" w:eastAsia="nl-NL"/>
              </w:rPr>
            </w:pPr>
            <w:r w:rsidRPr="00594FCF">
              <w:rPr>
                <w:lang w:val="en-US" w:eastAsia="nl-NL"/>
              </w:rPr>
              <w:t>Share-based payment (</w:t>
            </w:r>
            <w:r w:rsidRPr="00594FCF">
              <w:t xml:space="preserve">Directors’ </w:t>
            </w:r>
            <w:r w:rsidR="00AC011A">
              <w:t>S</w:t>
            </w:r>
            <w:r w:rsidRPr="00594FCF">
              <w:t xml:space="preserve">hare </w:t>
            </w:r>
            <w:r w:rsidR="00AC011A">
              <w:t>B</w:t>
            </w:r>
            <w:r w:rsidRPr="00594FCF">
              <w:t xml:space="preserve">onus </w:t>
            </w:r>
            <w:r w:rsidR="00AC011A">
              <w:t>A</w:t>
            </w:r>
            <w:r w:rsidRPr="00594FCF">
              <w:t xml:space="preserve">ward) (note </w:t>
            </w:r>
            <w:r w:rsidR="007B23F9">
              <w:t>20</w:t>
            </w:r>
            <w:r w:rsidRPr="00594FCF">
              <w:t>)</w:t>
            </w:r>
          </w:p>
        </w:tc>
        <w:tc>
          <w:tcPr>
            <w:tcW w:w="1222" w:type="dxa"/>
            <w:tcBorders>
              <w:bottom w:val="single" w:sz="4" w:space="0" w:color="93B7BB"/>
            </w:tcBorders>
            <w:shd w:val="clear" w:color="auto" w:fill="EFF4F5"/>
            <w:vAlign w:val="bottom"/>
          </w:tcPr>
          <w:p w14:paraId="6FFEC6DA" w14:textId="0F387F0E" w:rsidR="009E2D7C" w:rsidRPr="000B5CE0" w:rsidRDefault="000B5CE0" w:rsidP="00B626AD">
            <w:pPr>
              <w:pStyle w:val="Tabletext"/>
              <w:jc w:val="right"/>
              <w:rPr>
                <w:b/>
              </w:rPr>
            </w:pPr>
            <w:r w:rsidRPr="000B5CE0">
              <w:rPr>
                <w:b/>
              </w:rPr>
              <w:t>–</w:t>
            </w:r>
          </w:p>
        </w:tc>
        <w:tc>
          <w:tcPr>
            <w:tcW w:w="1216" w:type="dxa"/>
            <w:tcBorders>
              <w:bottom w:val="single" w:sz="4" w:space="0" w:color="93B7BB"/>
            </w:tcBorders>
            <w:vAlign w:val="bottom"/>
          </w:tcPr>
          <w:p w14:paraId="1C1F908F" w14:textId="648ABA8D" w:rsidR="009E2D7C" w:rsidRPr="009E2D7C" w:rsidRDefault="009E2D7C" w:rsidP="00B626AD">
            <w:pPr>
              <w:pStyle w:val="Tabletext"/>
              <w:jc w:val="right"/>
            </w:pPr>
            <w:r w:rsidRPr="009E2D7C">
              <w:t>2.5</w:t>
            </w:r>
          </w:p>
        </w:tc>
      </w:tr>
      <w:tr w:rsidR="009E2D7C" w:rsidRPr="00594FCF" w14:paraId="6F885923" w14:textId="77777777" w:rsidTr="009E2D7C">
        <w:tc>
          <w:tcPr>
            <w:tcW w:w="6634" w:type="dxa"/>
            <w:tcBorders>
              <w:top w:val="single" w:sz="4" w:space="0" w:color="93B7BB"/>
              <w:bottom w:val="single" w:sz="4" w:space="0" w:color="93B7BB"/>
            </w:tcBorders>
          </w:tcPr>
          <w:p w14:paraId="5B8C5CBB" w14:textId="77777777" w:rsidR="009E2D7C" w:rsidRPr="00594FCF" w:rsidRDefault="009E2D7C" w:rsidP="00B626AD">
            <w:pPr>
              <w:pStyle w:val="Tabletext"/>
            </w:pPr>
          </w:p>
        </w:tc>
        <w:tc>
          <w:tcPr>
            <w:tcW w:w="1222" w:type="dxa"/>
            <w:tcBorders>
              <w:top w:val="single" w:sz="4" w:space="0" w:color="93B7BB"/>
              <w:bottom w:val="single" w:sz="4" w:space="0" w:color="93B7BB"/>
            </w:tcBorders>
            <w:shd w:val="clear" w:color="auto" w:fill="EFF4F5"/>
            <w:vAlign w:val="bottom"/>
          </w:tcPr>
          <w:p w14:paraId="32CE5C8F" w14:textId="056EEEF7" w:rsidR="009E2D7C" w:rsidRPr="000B5CE0" w:rsidRDefault="000B5CE0" w:rsidP="00B626AD">
            <w:pPr>
              <w:pStyle w:val="Tabletext"/>
              <w:jc w:val="right"/>
              <w:rPr>
                <w:b/>
              </w:rPr>
            </w:pPr>
            <w:r w:rsidRPr="000B5CE0">
              <w:rPr>
                <w:b/>
              </w:rPr>
              <w:t>–</w:t>
            </w:r>
          </w:p>
        </w:tc>
        <w:tc>
          <w:tcPr>
            <w:tcW w:w="1216" w:type="dxa"/>
            <w:tcBorders>
              <w:top w:val="single" w:sz="4" w:space="0" w:color="93B7BB"/>
              <w:bottom w:val="single" w:sz="4" w:space="0" w:color="93B7BB"/>
            </w:tcBorders>
            <w:vAlign w:val="bottom"/>
          </w:tcPr>
          <w:p w14:paraId="31C1B6A3" w14:textId="2523A243" w:rsidR="009E2D7C" w:rsidRPr="009E2D7C" w:rsidRDefault="009E2D7C" w:rsidP="00B626AD">
            <w:pPr>
              <w:pStyle w:val="Tabletext"/>
              <w:jc w:val="right"/>
            </w:pPr>
            <w:r w:rsidRPr="009E2D7C">
              <w:t>46.1</w:t>
            </w:r>
          </w:p>
        </w:tc>
      </w:tr>
      <w:tr w:rsidR="009E2D7C" w:rsidRPr="00594FCF" w14:paraId="58781759" w14:textId="77777777" w:rsidTr="009E2D7C">
        <w:tc>
          <w:tcPr>
            <w:tcW w:w="6634" w:type="dxa"/>
            <w:tcBorders>
              <w:top w:val="single" w:sz="4" w:space="0" w:color="93B7BB"/>
            </w:tcBorders>
          </w:tcPr>
          <w:p w14:paraId="5CD09052" w14:textId="77777777" w:rsidR="009E2D7C" w:rsidRPr="00594FCF" w:rsidRDefault="009E2D7C" w:rsidP="00B626AD">
            <w:pPr>
              <w:pStyle w:val="Tabletext"/>
              <w:rPr>
                <w:lang w:val="en-US" w:eastAsia="nl-NL"/>
              </w:rPr>
            </w:pPr>
            <w:r w:rsidRPr="00594FCF">
              <w:rPr>
                <w:lang w:val="en-US" w:eastAsia="nl-NL"/>
              </w:rPr>
              <w:t>Non-IPO related:</w:t>
            </w:r>
          </w:p>
        </w:tc>
        <w:tc>
          <w:tcPr>
            <w:tcW w:w="1222" w:type="dxa"/>
            <w:tcBorders>
              <w:top w:val="single" w:sz="4" w:space="0" w:color="93B7BB"/>
            </w:tcBorders>
            <w:shd w:val="clear" w:color="auto" w:fill="EFF4F5"/>
            <w:vAlign w:val="bottom"/>
          </w:tcPr>
          <w:p w14:paraId="483D7653" w14:textId="77777777" w:rsidR="009E2D7C" w:rsidRPr="00B626AD" w:rsidRDefault="009E2D7C" w:rsidP="00B626AD">
            <w:pPr>
              <w:pStyle w:val="Tabletext"/>
              <w:jc w:val="right"/>
              <w:rPr>
                <w:b/>
              </w:rPr>
            </w:pPr>
          </w:p>
        </w:tc>
        <w:tc>
          <w:tcPr>
            <w:tcW w:w="1216" w:type="dxa"/>
            <w:tcBorders>
              <w:top w:val="single" w:sz="4" w:space="0" w:color="93B7BB"/>
            </w:tcBorders>
            <w:vAlign w:val="bottom"/>
          </w:tcPr>
          <w:p w14:paraId="78F13480" w14:textId="77777777" w:rsidR="009E2D7C" w:rsidRPr="009E2D7C" w:rsidRDefault="009E2D7C" w:rsidP="00B626AD">
            <w:pPr>
              <w:pStyle w:val="Tabletext"/>
              <w:jc w:val="right"/>
            </w:pPr>
          </w:p>
        </w:tc>
      </w:tr>
      <w:tr w:rsidR="009E2D7C" w:rsidRPr="00594FCF" w14:paraId="58A278BB" w14:textId="77777777" w:rsidTr="009E2D7C">
        <w:tc>
          <w:tcPr>
            <w:tcW w:w="6634" w:type="dxa"/>
          </w:tcPr>
          <w:p w14:paraId="12248D1F" w14:textId="36CD11E2" w:rsidR="009E2D7C" w:rsidRPr="00594FCF" w:rsidRDefault="009E2D7C" w:rsidP="0080483E">
            <w:pPr>
              <w:pStyle w:val="Tabletext"/>
              <w:rPr>
                <w:lang w:val="en-US" w:eastAsia="nl-NL"/>
              </w:rPr>
            </w:pPr>
            <w:r w:rsidRPr="00594FCF">
              <w:rPr>
                <w:lang w:val="en-US" w:eastAsia="nl-NL"/>
              </w:rPr>
              <w:t xml:space="preserve">Business </w:t>
            </w:r>
            <w:proofErr w:type="spellStart"/>
            <w:r w:rsidRPr="00594FCF">
              <w:rPr>
                <w:lang w:val="en-US" w:eastAsia="nl-NL"/>
              </w:rPr>
              <w:t>reorganisation</w:t>
            </w:r>
            <w:proofErr w:type="spellEnd"/>
            <w:r w:rsidRPr="00594FCF">
              <w:rPr>
                <w:lang w:val="en-US" w:eastAsia="nl-NL"/>
              </w:rPr>
              <w:t xml:space="preserve"> </w:t>
            </w:r>
          </w:p>
        </w:tc>
        <w:tc>
          <w:tcPr>
            <w:tcW w:w="1222" w:type="dxa"/>
            <w:shd w:val="clear" w:color="auto" w:fill="EFF4F5"/>
            <w:vAlign w:val="bottom"/>
          </w:tcPr>
          <w:p w14:paraId="1F46A54C" w14:textId="03B7FC30" w:rsidR="009E2D7C" w:rsidRPr="00B626AD" w:rsidRDefault="0080483E" w:rsidP="00B626AD">
            <w:pPr>
              <w:pStyle w:val="Tabletext"/>
              <w:jc w:val="right"/>
              <w:rPr>
                <w:b/>
              </w:rPr>
            </w:pPr>
            <w:r>
              <w:rPr>
                <w:b/>
              </w:rPr>
              <w:t>3.1</w:t>
            </w:r>
          </w:p>
        </w:tc>
        <w:tc>
          <w:tcPr>
            <w:tcW w:w="1216" w:type="dxa"/>
            <w:vAlign w:val="bottom"/>
          </w:tcPr>
          <w:p w14:paraId="74400F93" w14:textId="290DF338" w:rsidR="009E2D7C" w:rsidRPr="009E2D7C" w:rsidRDefault="009E2D7C" w:rsidP="00B626AD">
            <w:pPr>
              <w:pStyle w:val="Tabletext"/>
              <w:jc w:val="right"/>
            </w:pPr>
            <w:r w:rsidRPr="009E2D7C">
              <w:t>3.9</w:t>
            </w:r>
          </w:p>
        </w:tc>
      </w:tr>
      <w:tr w:rsidR="009E2D7C" w:rsidRPr="00594FCF" w14:paraId="66181C29" w14:textId="77777777" w:rsidTr="009E2D7C">
        <w:tc>
          <w:tcPr>
            <w:tcW w:w="6634" w:type="dxa"/>
          </w:tcPr>
          <w:p w14:paraId="6BFE815C" w14:textId="282A650C" w:rsidR="009E2D7C" w:rsidRPr="00594FCF" w:rsidRDefault="0080483E" w:rsidP="00B626AD">
            <w:pPr>
              <w:pStyle w:val="Tabletext"/>
              <w:rPr>
                <w:lang w:val="en-US" w:eastAsia="nl-NL"/>
              </w:rPr>
            </w:pPr>
            <w:r>
              <w:rPr>
                <w:lang w:val="en-US" w:eastAsia="nl-NL"/>
              </w:rPr>
              <w:t>Hospital impairment</w:t>
            </w:r>
          </w:p>
        </w:tc>
        <w:tc>
          <w:tcPr>
            <w:tcW w:w="1222" w:type="dxa"/>
            <w:shd w:val="clear" w:color="auto" w:fill="EFF4F5"/>
            <w:vAlign w:val="bottom"/>
          </w:tcPr>
          <w:p w14:paraId="1DB5A80D" w14:textId="552566E0" w:rsidR="009E2D7C" w:rsidRPr="00B626AD" w:rsidRDefault="0080483E" w:rsidP="00B626AD">
            <w:pPr>
              <w:pStyle w:val="Tabletext"/>
              <w:jc w:val="right"/>
              <w:rPr>
                <w:b/>
              </w:rPr>
            </w:pPr>
            <w:r>
              <w:rPr>
                <w:b/>
              </w:rPr>
              <w:t>5.7</w:t>
            </w:r>
          </w:p>
        </w:tc>
        <w:tc>
          <w:tcPr>
            <w:tcW w:w="1216" w:type="dxa"/>
            <w:vAlign w:val="bottom"/>
          </w:tcPr>
          <w:p w14:paraId="5CFCB77D" w14:textId="6BAE0C86" w:rsidR="009E2D7C" w:rsidRPr="009E2D7C" w:rsidRDefault="009E2D7C" w:rsidP="00B626AD">
            <w:pPr>
              <w:pStyle w:val="Tabletext"/>
              <w:jc w:val="right"/>
            </w:pPr>
            <w:r w:rsidRPr="009E2D7C">
              <w:t>–</w:t>
            </w:r>
          </w:p>
        </w:tc>
      </w:tr>
      <w:tr w:rsidR="0080483E" w:rsidRPr="00594FCF" w14:paraId="163D6F0A" w14:textId="77777777" w:rsidTr="009E2D7C">
        <w:tc>
          <w:tcPr>
            <w:tcW w:w="6634" w:type="dxa"/>
          </w:tcPr>
          <w:p w14:paraId="28F2F8AA" w14:textId="481544B8" w:rsidR="0080483E" w:rsidRDefault="0080483E" w:rsidP="00B626AD">
            <w:pPr>
              <w:pStyle w:val="Tabletext"/>
              <w:rPr>
                <w:lang w:val="en-US" w:eastAsia="nl-NL"/>
              </w:rPr>
            </w:pPr>
            <w:r>
              <w:rPr>
                <w:lang w:val="en-US" w:eastAsia="nl-NL"/>
              </w:rPr>
              <w:t>Hospital closure</w:t>
            </w:r>
          </w:p>
        </w:tc>
        <w:tc>
          <w:tcPr>
            <w:tcW w:w="1222" w:type="dxa"/>
            <w:shd w:val="clear" w:color="auto" w:fill="EFF4F5"/>
            <w:vAlign w:val="bottom"/>
          </w:tcPr>
          <w:p w14:paraId="0C3A6CF3" w14:textId="16E8753F" w:rsidR="0080483E" w:rsidRPr="00B626AD" w:rsidRDefault="0080483E" w:rsidP="00B626AD">
            <w:pPr>
              <w:pStyle w:val="Tabletext"/>
              <w:jc w:val="right"/>
              <w:rPr>
                <w:b/>
              </w:rPr>
            </w:pPr>
            <w:r>
              <w:rPr>
                <w:b/>
              </w:rPr>
              <w:t>6.9</w:t>
            </w:r>
          </w:p>
        </w:tc>
        <w:tc>
          <w:tcPr>
            <w:tcW w:w="1216" w:type="dxa"/>
            <w:vAlign w:val="bottom"/>
          </w:tcPr>
          <w:p w14:paraId="38725BED" w14:textId="6EAF762C" w:rsidR="0080483E" w:rsidRPr="009E2D7C" w:rsidRDefault="0080483E" w:rsidP="00B626AD">
            <w:pPr>
              <w:pStyle w:val="Tabletext"/>
              <w:jc w:val="right"/>
            </w:pPr>
            <w:r w:rsidRPr="009E2D7C">
              <w:t>–</w:t>
            </w:r>
          </w:p>
        </w:tc>
      </w:tr>
      <w:tr w:rsidR="009E2D7C" w:rsidRPr="00594FCF" w14:paraId="6E69169E" w14:textId="77777777" w:rsidTr="009E2D7C">
        <w:tc>
          <w:tcPr>
            <w:tcW w:w="6634" w:type="dxa"/>
            <w:tcBorders>
              <w:bottom w:val="single" w:sz="4" w:space="0" w:color="93B7BB"/>
            </w:tcBorders>
          </w:tcPr>
          <w:p w14:paraId="45FD445C" w14:textId="77777777" w:rsidR="009E2D7C" w:rsidRPr="00594FCF" w:rsidRDefault="009E2D7C" w:rsidP="00B626AD">
            <w:pPr>
              <w:pStyle w:val="Tabletext"/>
            </w:pPr>
            <w:r w:rsidRPr="00594FCF">
              <w:rPr>
                <w:lang w:val="en-US" w:eastAsia="nl-NL"/>
              </w:rPr>
              <w:t>Regulatory costs</w:t>
            </w:r>
          </w:p>
        </w:tc>
        <w:tc>
          <w:tcPr>
            <w:tcW w:w="1222" w:type="dxa"/>
            <w:tcBorders>
              <w:bottom w:val="single" w:sz="4" w:space="0" w:color="93B7BB"/>
            </w:tcBorders>
            <w:shd w:val="clear" w:color="auto" w:fill="EFF4F5"/>
            <w:vAlign w:val="bottom"/>
          </w:tcPr>
          <w:p w14:paraId="203453BE" w14:textId="5C5572E3" w:rsidR="009E2D7C" w:rsidRPr="0080483E" w:rsidRDefault="0080483E" w:rsidP="00B626AD">
            <w:pPr>
              <w:pStyle w:val="Tabletext"/>
              <w:jc w:val="right"/>
              <w:rPr>
                <w:b/>
              </w:rPr>
            </w:pPr>
            <w:r w:rsidRPr="0080483E">
              <w:rPr>
                <w:b/>
              </w:rPr>
              <w:t>–</w:t>
            </w:r>
          </w:p>
        </w:tc>
        <w:tc>
          <w:tcPr>
            <w:tcW w:w="1216" w:type="dxa"/>
            <w:tcBorders>
              <w:bottom w:val="single" w:sz="4" w:space="0" w:color="93B7BB"/>
            </w:tcBorders>
            <w:vAlign w:val="bottom"/>
          </w:tcPr>
          <w:p w14:paraId="127D5D18" w14:textId="5B1EFD55" w:rsidR="009E2D7C" w:rsidRPr="009E2D7C" w:rsidRDefault="009E2D7C" w:rsidP="00B626AD">
            <w:pPr>
              <w:pStyle w:val="Tabletext"/>
              <w:jc w:val="right"/>
            </w:pPr>
            <w:r w:rsidRPr="009E2D7C">
              <w:t>4.0</w:t>
            </w:r>
          </w:p>
        </w:tc>
      </w:tr>
      <w:tr w:rsidR="009E2D7C" w:rsidRPr="00594FCF" w14:paraId="671C206B" w14:textId="77777777" w:rsidTr="009E2D7C">
        <w:tc>
          <w:tcPr>
            <w:tcW w:w="6634" w:type="dxa"/>
            <w:tcBorders>
              <w:top w:val="single" w:sz="4" w:space="0" w:color="93B7BB"/>
              <w:bottom w:val="single" w:sz="4" w:space="0" w:color="93B7BB"/>
            </w:tcBorders>
          </w:tcPr>
          <w:p w14:paraId="50958E61" w14:textId="77777777" w:rsidR="009E2D7C" w:rsidRPr="00594FCF" w:rsidRDefault="009E2D7C" w:rsidP="00B626AD">
            <w:pPr>
              <w:pStyle w:val="Tabletext"/>
              <w:rPr>
                <w:lang w:val="en-US" w:eastAsia="nl-NL"/>
              </w:rPr>
            </w:pPr>
          </w:p>
        </w:tc>
        <w:tc>
          <w:tcPr>
            <w:tcW w:w="1222" w:type="dxa"/>
            <w:tcBorders>
              <w:top w:val="single" w:sz="4" w:space="0" w:color="93B7BB"/>
              <w:bottom w:val="single" w:sz="4" w:space="0" w:color="93B7BB"/>
            </w:tcBorders>
            <w:shd w:val="clear" w:color="auto" w:fill="EFF4F5"/>
            <w:vAlign w:val="bottom"/>
          </w:tcPr>
          <w:p w14:paraId="1483F722" w14:textId="6EE6AB81" w:rsidR="009E2D7C" w:rsidRPr="00B626AD" w:rsidRDefault="0080483E" w:rsidP="00B626AD">
            <w:pPr>
              <w:pStyle w:val="Tabletext"/>
              <w:jc w:val="right"/>
              <w:rPr>
                <w:b/>
              </w:rPr>
            </w:pPr>
            <w:r>
              <w:rPr>
                <w:b/>
              </w:rPr>
              <w:t>15.7</w:t>
            </w:r>
          </w:p>
        </w:tc>
        <w:tc>
          <w:tcPr>
            <w:tcW w:w="1216" w:type="dxa"/>
            <w:tcBorders>
              <w:top w:val="single" w:sz="4" w:space="0" w:color="93B7BB"/>
              <w:bottom w:val="single" w:sz="4" w:space="0" w:color="93B7BB"/>
            </w:tcBorders>
            <w:vAlign w:val="bottom"/>
          </w:tcPr>
          <w:p w14:paraId="25AC894D" w14:textId="72A3FBAC" w:rsidR="009E2D7C" w:rsidRPr="009E2D7C" w:rsidRDefault="009E2D7C" w:rsidP="00B626AD">
            <w:pPr>
              <w:pStyle w:val="Tabletext"/>
              <w:jc w:val="right"/>
            </w:pPr>
            <w:r w:rsidRPr="009E2D7C">
              <w:t>7.9</w:t>
            </w:r>
          </w:p>
        </w:tc>
      </w:tr>
      <w:tr w:rsidR="009E2D7C" w:rsidRPr="00594FCF" w14:paraId="3E5F172F" w14:textId="77777777" w:rsidTr="009E2D7C">
        <w:tc>
          <w:tcPr>
            <w:tcW w:w="6634" w:type="dxa"/>
            <w:tcBorders>
              <w:top w:val="single" w:sz="4" w:space="0" w:color="93B7BB"/>
              <w:bottom w:val="single" w:sz="4" w:space="0" w:color="93B7BB"/>
            </w:tcBorders>
          </w:tcPr>
          <w:p w14:paraId="3D1493B8" w14:textId="77777777" w:rsidR="009E2D7C" w:rsidRPr="00594FCF" w:rsidRDefault="009E2D7C" w:rsidP="00B626AD">
            <w:pPr>
              <w:pStyle w:val="Tabletext"/>
              <w:rPr>
                <w:lang w:val="en-US" w:eastAsia="nl-NL"/>
              </w:rPr>
            </w:pPr>
          </w:p>
        </w:tc>
        <w:tc>
          <w:tcPr>
            <w:tcW w:w="1222" w:type="dxa"/>
            <w:tcBorders>
              <w:top w:val="single" w:sz="4" w:space="0" w:color="93B7BB"/>
              <w:bottom w:val="single" w:sz="4" w:space="0" w:color="93B7BB"/>
            </w:tcBorders>
            <w:shd w:val="clear" w:color="auto" w:fill="EFF4F5"/>
            <w:vAlign w:val="bottom"/>
          </w:tcPr>
          <w:p w14:paraId="5973D46E" w14:textId="77777777" w:rsidR="009E2D7C" w:rsidRPr="00B626AD" w:rsidRDefault="009E2D7C" w:rsidP="00B626AD">
            <w:pPr>
              <w:pStyle w:val="Tabletext"/>
              <w:jc w:val="right"/>
              <w:rPr>
                <w:b/>
              </w:rPr>
            </w:pPr>
          </w:p>
        </w:tc>
        <w:tc>
          <w:tcPr>
            <w:tcW w:w="1216" w:type="dxa"/>
            <w:tcBorders>
              <w:top w:val="single" w:sz="4" w:space="0" w:color="93B7BB"/>
              <w:bottom w:val="single" w:sz="4" w:space="0" w:color="93B7BB"/>
            </w:tcBorders>
            <w:vAlign w:val="bottom"/>
          </w:tcPr>
          <w:p w14:paraId="4BA970F4" w14:textId="77777777" w:rsidR="009E2D7C" w:rsidRPr="009E2D7C" w:rsidRDefault="009E2D7C" w:rsidP="00B626AD">
            <w:pPr>
              <w:pStyle w:val="Tabletext"/>
              <w:jc w:val="right"/>
            </w:pPr>
          </w:p>
        </w:tc>
      </w:tr>
      <w:tr w:rsidR="009E2D7C" w:rsidRPr="00594FCF" w14:paraId="40DB65E1" w14:textId="77777777" w:rsidTr="009E2D7C">
        <w:tc>
          <w:tcPr>
            <w:tcW w:w="6634" w:type="dxa"/>
            <w:tcBorders>
              <w:top w:val="single" w:sz="4" w:space="0" w:color="93B7BB"/>
              <w:bottom w:val="single" w:sz="4" w:space="0" w:color="93B7BB"/>
            </w:tcBorders>
          </w:tcPr>
          <w:p w14:paraId="6109380B" w14:textId="77777777" w:rsidR="009E2D7C" w:rsidRPr="00594FCF" w:rsidRDefault="009E2D7C" w:rsidP="00B626AD">
            <w:pPr>
              <w:pStyle w:val="Tabletext"/>
            </w:pPr>
            <w:r w:rsidRPr="00594FCF">
              <w:t>Total exceptional costs</w:t>
            </w:r>
          </w:p>
        </w:tc>
        <w:tc>
          <w:tcPr>
            <w:tcW w:w="1222" w:type="dxa"/>
            <w:tcBorders>
              <w:top w:val="single" w:sz="4" w:space="0" w:color="93B7BB"/>
              <w:bottom w:val="single" w:sz="4" w:space="0" w:color="93B7BB"/>
            </w:tcBorders>
            <w:shd w:val="clear" w:color="auto" w:fill="EFF4F5"/>
            <w:vAlign w:val="bottom"/>
          </w:tcPr>
          <w:p w14:paraId="39B7F342" w14:textId="224E67DB" w:rsidR="009E2D7C" w:rsidRPr="00B626AD" w:rsidRDefault="0080483E" w:rsidP="00B626AD">
            <w:pPr>
              <w:pStyle w:val="Tabletext"/>
              <w:jc w:val="right"/>
              <w:rPr>
                <w:b/>
              </w:rPr>
            </w:pPr>
            <w:r>
              <w:rPr>
                <w:b/>
              </w:rPr>
              <w:t>15.7</w:t>
            </w:r>
          </w:p>
        </w:tc>
        <w:tc>
          <w:tcPr>
            <w:tcW w:w="1216" w:type="dxa"/>
            <w:tcBorders>
              <w:top w:val="single" w:sz="4" w:space="0" w:color="93B7BB"/>
              <w:bottom w:val="single" w:sz="4" w:space="0" w:color="93B7BB"/>
            </w:tcBorders>
            <w:vAlign w:val="bottom"/>
          </w:tcPr>
          <w:p w14:paraId="60FC0F14" w14:textId="0F3AAEEF" w:rsidR="009E2D7C" w:rsidRPr="009E2D7C" w:rsidRDefault="009E2D7C" w:rsidP="00B626AD">
            <w:pPr>
              <w:pStyle w:val="Tabletext"/>
              <w:jc w:val="right"/>
            </w:pPr>
            <w:r w:rsidRPr="009E2D7C">
              <w:t>54.0</w:t>
            </w:r>
          </w:p>
        </w:tc>
      </w:tr>
    </w:tbl>
    <w:p w14:paraId="3BE04CFE" w14:textId="77777777" w:rsidR="00C513C7" w:rsidRPr="00594FCF" w:rsidRDefault="00C513C7" w:rsidP="00B626AD">
      <w:pPr>
        <w:pStyle w:val="Footnote"/>
      </w:pPr>
    </w:p>
    <w:p w14:paraId="3B13A98D" w14:textId="77777777" w:rsidR="00510698" w:rsidRDefault="00510698">
      <w:pPr>
        <w:spacing w:after="160" w:line="259" w:lineRule="auto"/>
        <w:rPr>
          <w:rFonts w:asciiTheme="majorHAnsi" w:eastAsiaTheme="majorEastAsia" w:hAnsiTheme="majorHAnsi" w:cstheme="majorBidi"/>
          <w:b/>
          <w:iCs/>
        </w:rPr>
      </w:pPr>
      <w:r>
        <w:br w:type="page"/>
      </w:r>
    </w:p>
    <w:p w14:paraId="77B9B247" w14:textId="508C8735" w:rsidR="00510698" w:rsidRPr="00594FCF" w:rsidRDefault="00510698" w:rsidP="00510698">
      <w:pPr>
        <w:pStyle w:val="Heading3"/>
      </w:pPr>
      <w:r>
        <w:lastRenderedPageBreak/>
        <w:t xml:space="preserve">7. </w:t>
      </w:r>
      <w:r w:rsidRPr="00594FCF">
        <w:t>Exceptional items</w:t>
      </w:r>
      <w:r>
        <w:t xml:space="preserve"> (CONTINUED)</w:t>
      </w:r>
    </w:p>
    <w:p w14:paraId="26F68777" w14:textId="4C963FA0" w:rsidR="00725EE9" w:rsidRPr="00594FCF" w:rsidRDefault="00725EE9" w:rsidP="009E2D7C">
      <w:pPr>
        <w:pStyle w:val="Heading4"/>
        <w:jc w:val="both"/>
      </w:pPr>
      <w:r w:rsidRPr="00594FCF">
        <w:t>IPO related</w:t>
      </w:r>
    </w:p>
    <w:p w14:paraId="5AB795E1" w14:textId="1BA259A5" w:rsidR="00725EE9" w:rsidRDefault="00725EE9" w:rsidP="009E2D7C">
      <w:pPr>
        <w:jc w:val="both"/>
      </w:pPr>
      <w:r w:rsidRPr="00594FCF">
        <w:rPr>
          <w:lang w:val="en-US" w:eastAsia="nl-NL"/>
        </w:rPr>
        <w:t>In July 2014</w:t>
      </w:r>
      <w:r w:rsidR="007779F1">
        <w:rPr>
          <w:lang w:val="en-US" w:eastAsia="nl-NL"/>
        </w:rPr>
        <w:t>,</w:t>
      </w:r>
      <w:r w:rsidRPr="00594FCF">
        <w:rPr>
          <w:lang w:val="en-US" w:eastAsia="nl-NL"/>
        </w:rPr>
        <w:t xml:space="preserve"> the </w:t>
      </w:r>
      <w:r w:rsidR="00E70CD5">
        <w:rPr>
          <w:lang w:val="en-US" w:eastAsia="nl-NL"/>
        </w:rPr>
        <w:t xml:space="preserve">Company </w:t>
      </w:r>
      <w:r w:rsidRPr="00594FCF">
        <w:rPr>
          <w:lang w:val="en-US" w:eastAsia="nl-NL"/>
        </w:rPr>
        <w:t>was listed on the London Stock Exchange. The costs charged to the income statement relate to costs incurred as a result of the listing</w:t>
      </w:r>
      <w:r w:rsidR="007779F1">
        <w:rPr>
          <w:lang w:val="en-US" w:eastAsia="nl-NL"/>
        </w:rPr>
        <w:t>,</w:t>
      </w:r>
      <w:r w:rsidRPr="00594FCF">
        <w:rPr>
          <w:lang w:val="en-US" w:eastAsia="nl-NL"/>
        </w:rPr>
        <w:t xml:space="preserve"> but not directly related to the issues of new shares. These costs include such items as IPO bonuses, marketing expenditure, professional and other services</w:t>
      </w:r>
      <w:r w:rsidRPr="00594FCF">
        <w:t>.</w:t>
      </w:r>
      <w:r w:rsidR="001F3983">
        <w:t xml:space="preserve"> These costs were largely tax deductible. A deferred tax asset was recognised in relation to the share-based payments.</w:t>
      </w:r>
    </w:p>
    <w:p w14:paraId="20FC9C05" w14:textId="77777777" w:rsidR="00725EE9" w:rsidRPr="00594FCF" w:rsidRDefault="00725EE9" w:rsidP="009E2D7C">
      <w:pPr>
        <w:pStyle w:val="Heading4"/>
        <w:keepNext w:val="0"/>
        <w:keepLines w:val="0"/>
        <w:jc w:val="both"/>
      </w:pPr>
      <w:r w:rsidRPr="00594FCF">
        <w:t>Non-IPO related</w:t>
      </w:r>
    </w:p>
    <w:p w14:paraId="15FA1E2C" w14:textId="5539C5F4" w:rsidR="00725EE9" w:rsidRPr="00594FCF" w:rsidRDefault="0080483E" w:rsidP="009E2D7C">
      <w:pPr>
        <w:jc w:val="both"/>
      </w:pPr>
      <w:r w:rsidRPr="00A55949">
        <w:t>In</w:t>
      </w:r>
      <w:r>
        <w:t xml:space="preserve"> </w:t>
      </w:r>
      <w:r w:rsidRPr="00A55949">
        <w:t>the</w:t>
      </w:r>
      <w:r>
        <w:t xml:space="preserve"> </w:t>
      </w:r>
      <w:r w:rsidRPr="00A55949">
        <w:t>year</w:t>
      </w:r>
      <w:r>
        <w:t xml:space="preserve"> </w:t>
      </w:r>
      <w:r w:rsidRPr="00A55949">
        <w:t>ended</w:t>
      </w:r>
      <w:r>
        <w:t xml:space="preserve"> </w:t>
      </w:r>
      <w:r w:rsidRPr="00A55949">
        <w:t>31</w:t>
      </w:r>
      <w:r>
        <w:t xml:space="preserve"> </w:t>
      </w:r>
      <w:r w:rsidRPr="00A55949">
        <w:t>December</w:t>
      </w:r>
      <w:r>
        <w:t xml:space="preserve"> </w:t>
      </w:r>
      <w:r w:rsidRPr="00A55949">
        <w:t>201</w:t>
      </w:r>
      <w:r>
        <w:t>5</w:t>
      </w:r>
      <w:r w:rsidRPr="00A55949">
        <w:t>,</w:t>
      </w:r>
      <w:r>
        <w:t xml:space="preserve"> </w:t>
      </w:r>
      <w:r w:rsidRPr="007237BC">
        <w:t xml:space="preserve">business reorganisation costs mainly comprised staff restructuring </w:t>
      </w:r>
      <w:r w:rsidRPr="001F33FF">
        <w:t xml:space="preserve">costs. Hospital impairment relates to </w:t>
      </w:r>
      <w:r w:rsidR="00AC011A">
        <w:t xml:space="preserve">an </w:t>
      </w:r>
      <w:r w:rsidRPr="001F33FF">
        <w:t>impairment charge of £5.7 million on leasehold improvements and equipment</w:t>
      </w:r>
      <w:r>
        <w:t xml:space="preserve"> associated with </w:t>
      </w:r>
      <w:r w:rsidRPr="001F33FF">
        <w:t xml:space="preserve">the existing Spire Manchester Hospital, as a result of the development of a new </w:t>
      </w:r>
      <w:r>
        <w:t xml:space="preserve">hospital </w:t>
      </w:r>
      <w:r w:rsidRPr="001F33FF">
        <w:t>facility in West Didsbury, South Manchester. Hospital closure costs relate</w:t>
      </w:r>
      <w:r>
        <w:t xml:space="preserve"> to the closure of the Spire St Saviour’s Hospital announced i</w:t>
      </w:r>
      <w:r w:rsidRPr="00FA7622">
        <w:t>n June 2015</w:t>
      </w:r>
      <w:r>
        <w:t xml:space="preserve"> and includes an impairment charge on freehold property and equipment of £5.5 million. Exceptional items give rise to a tax credit of £2.7 million</w:t>
      </w:r>
      <w:r w:rsidR="00725EE9" w:rsidRPr="00594FCF">
        <w:t>.</w:t>
      </w:r>
    </w:p>
    <w:p w14:paraId="376433DC" w14:textId="66BBFF30" w:rsidR="00725EE9" w:rsidRPr="00594FCF" w:rsidRDefault="0080483E" w:rsidP="009E2D7C">
      <w:pPr>
        <w:jc w:val="both"/>
      </w:pPr>
      <w:r w:rsidRPr="00A55949">
        <w:t>In</w:t>
      </w:r>
      <w:r>
        <w:t xml:space="preserve"> </w:t>
      </w:r>
      <w:r w:rsidRPr="00A55949">
        <w:t>the</w:t>
      </w:r>
      <w:r>
        <w:t xml:space="preserve"> </w:t>
      </w:r>
      <w:r w:rsidRPr="00A55949">
        <w:t>year</w:t>
      </w:r>
      <w:r>
        <w:t xml:space="preserve"> </w:t>
      </w:r>
      <w:r w:rsidRPr="00A55949">
        <w:t>ended</w:t>
      </w:r>
      <w:r>
        <w:t xml:space="preserve"> </w:t>
      </w:r>
      <w:r w:rsidRPr="00A55949">
        <w:t>31</w:t>
      </w:r>
      <w:r>
        <w:t xml:space="preserve"> </w:t>
      </w:r>
      <w:r w:rsidRPr="00A55949">
        <w:t>December</w:t>
      </w:r>
      <w:r>
        <w:t xml:space="preserve"> </w:t>
      </w:r>
      <w:r w:rsidRPr="00A55949">
        <w:t>2014,</w:t>
      </w:r>
      <w:r>
        <w:t xml:space="preserve"> </w:t>
      </w:r>
      <w:r w:rsidRPr="00A55949">
        <w:t>reorganisation</w:t>
      </w:r>
      <w:r>
        <w:t xml:space="preserve"> </w:t>
      </w:r>
      <w:r w:rsidRPr="00A55949">
        <w:t>and</w:t>
      </w:r>
      <w:r>
        <w:t xml:space="preserve"> </w:t>
      </w:r>
      <w:r w:rsidRPr="00A55949">
        <w:t>set</w:t>
      </w:r>
      <w:r w:rsidR="00AC011A">
        <w:t>-</w:t>
      </w:r>
      <w:r w:rsidRPr="00A55949">
        <w:t>up</w:t>
      </w:r>
      <w:r>
        <w:t xml:space="preserve"> </w:t>
      </w:r>
      <w:r w:rsidRPr="00A55949">
        <w:t>costs</w:t>
      </w:r>
      <w:r>
        <w:t xml:space="preserve"> </w:t>
      </w:r>
      <w:r w:rsidRPr="00A55949">
        <w:t>were</w:t>
      </w:r>
      <w:r>
        <w:t xml:space="preserve"> </w:t>
      </w:r>
      <w:r w:rsidRPr="00A55949">
        <w:t>mainly</w:t>
      </w:r>
      <w:r>
        <w:t xml:space="preserve"> </w:t>
      </w:r>
      <w:r w:rsidRPr="00A55949">
        <w:t>associated</w:t>
      </w:r>
      <w:r>
        <w:t xml:space="preserve"> </w:t>
      </w:r>
      <w:r w:rsidRPr="00A55949">
        <w:t>with</w:t>
      </w:r>
      <w:r>
        <w:t xml:space="preserve"> </w:t>
      </w:r>
      <w:r w:rsidRPr="00A55949">
        <w:t>the</w:t>
      </w:r>
      <w:r>
        <w:t xml:space="preserve"> </w:t>
      </w:r>
      <w:r w:rsidRPr="00A55949">
        <w:t>costs</w:t>
      </w:r>
      <w:r>
        <w:t xml:space="preserve"> </w:t>
      </w:r>
      <w:r w:rsidRPr="00A55949">
        <w:t>of</w:t>
      </w:r>
      <w:r>
        <w:t xml:space="preserve"> </w:t>
      </w:r>
      <w:r w:rsidRPr="00A55949">
        <w:t>acquisition</w:t>
      </w:r>
      <w:r>
        <w:t xml:space="preserve"> </w:t>
      </w:r>
      <w:r w:rsidRPr="00A55949">
        <w:t>of</w:t>
      </w:r>
      <w:r>
        <w:t xml:space="preserve"> </w:t>
      </w:r>
      <w:r w:rsidRPr="00A55949">
        <w:t>St</w:t>
      </w:r>
      <w:r>
        <w:t xml:space="preserve"> </w:t>
      </w:r>
      <w:r w:rsidRPr="00A55949">
        <w:t>Anthony</w:t>
      </w:r>
      <w:r>
        <w:t>’</w:t>
      </w:r>
      <w:r w:rsidRPr="00A55949">
        <w:t>s</w:t>
      </w:r>
      <w:r>
        <w:t xml:space="preserve"> </w:t>
      </w:r>
      <w:r w:rsidRPr="00A55949">
        <w:t>Hospital,</w:t>
      </w:r>
      <w:r>
        <w:t xml:space="preserve"> </w:t>
      </w:r>
      <w:r w:rsidRPr="00A55949">
        <w:t>which</w:t>
      </w:r>
      <w:r>
        <w:t xml:space="preserve"> </w:t>
      </w:r>
      <w:r w:rsidRPr="00A55949">
        <w:t>as</w:t>
      </w:r>
      <w:r>
        <w:t xml:space="preserve"> </w:t>
      </w:r>
      <w:r w:rsidRPr="00A55949">
        <w:t>a</w:t>
      </w:r>
      <w:r>
        <w:t xml:space="preserve"> </w:t>
      </w:r>
      <w:r w:rsidRPr="00A55949">
        <w:t>material</w:t>
      </w:r>
      <w:r>
        <w:t xml:space="preserve"> </w:t>
      </w:r>
      <w:r w:rsidRPr="00A55949">
        <w:t>acquisition</w:t>
      </w:r>
      <w:r>
        <w:t xml:space="preserve"> </w:t>
      </w:r>
      <w:r w:rsidRPr="00A55949">
        <w:t>in</w:t>
      </w:r>
      <w:r>
        <w:t xml:space="preserve"> 2014</w:t>
      </w:r>
      <w:r w:rsidRPr="00A55949">
        <w:t>,</w:t>
      </w:r>
      <w:r>
        <w:t xml:space="preserve"> </w:t>
      </w:r>
      <w:r w:rsidRPr="00A55949">
        <w:t>has</w:t>
      </w:r>
      <w:r>
        <w:t xml:space="preserve"> </w:t>
      </w:r>
      <w:r w:rsidRPr="00A55949">
        <w:t>been</w:t>
      </w:r>
      <w:r>
        <w:t xml:space="preserve"> </w:t>
      </w:r>
      <w:r w:rsidRPr="00A55949">
        <w:t>treated</w:t>
      </w:r>
      <w:r>
        <w:t xml:space="preserve"> </w:t>
      </w:r>
      <w:r w:rsidRPr="00A55949">
        <w:t>as</w:t>
      </w:r>
      <w:r>
        <w:t xml:space="preserve"> </w:t>
      </w:r>
      <w:r w:rsidRPr="00A55949">
        <w:t>exceptional.</w:t>
      </w:r>
      <w:r>
        <w:t xml:space="preserve"> </w:t>
      </w:r>
      <w:r w:rsidRPr="00A55949">
        <w:t>Regulatory</w:t>
      </w:r>
      <w:r>
        <w:t xml:space="preserve"> </w:t>
      </w:r>
      <w:r w:rsidRPr="00A55949">
        <w:t>costs</w:t>
      </w:r>
      <w:r>
        <w:t xml:space="preserve"> </w:t>
      </w:r>
      <w:r w:rsidRPr="00A55949">
        <w:t>include</w:t>
      </w:r>
      <w:r>
        <w:t xml:space="preserve"> </w:t>
      </w:r>
      <w:r w:rsidRPr="00A55949">
        <w:t>costs</w:t>
      </w:r>
      <w:r>
        <w:t xml:space="preserve"> </w:t>
      </w:r>
      <w:r w:rsidRPr="00A55949">
        <w:t>relating</w:t>
      </w:r>
      <w:r>
        <w:t xml:space="preserve"> </w:t>
      </w:r>
      <w:r w:rsidRPr="00A55949">
        <w:t>to</w:t>
      </w:r>
      <w:r>
        <w:t xml:space="preserve"> </w:t>
      </w:r>
      <w:r w:rsidRPr="00A55949">
        <w:t>the</w:t>
      </w:r>
      <w:r>
        <w:t xml:space="preserve"> </w:t>
      </w:r>
      <w:r w:rsidRPr="00A55949">
        <w:t>Competition</w:t>
      </w:r>
      <w:r>
        <w:t xml:space="preserve"> </w:t>
      </w:r>
      <w:r w:rsidRPr="00A55949">
        <w:t>and</w:t>
      </w:r>
      <w:r>
        <w:t xml:space="preserve"> </w:t>
      </w:r>
      <w:r w:rsidRPr="00A55949">
        <w:t>Markets</w:t>
      </w:r>
      <w:r>
        <w:t xml:space="preserve"> </w:t>
      </w:r>
      <w:r w:rsidRPr="00A55949">
        <w:t>Authority</w:t>
      </w:r>
      <w:r>
        <w:t xml:space="preserve"> </w:t>
      </w:r>
      <w:r w:rsidRPr="00A55949">
        <w:t>(</w:t>
      </w:r>
      <w:r>
        <w:t>‘</w:t>
      </w:r>
      <w:r w:rsidRPr="00A55949">
        <w:t>CMA</w:t>
      </w:r>
      <w:r>
        <w:t>’</w:t>
      </w:r>
      <w:r w:rsidRPr="00A55949">
        <w:t>)</w:t>
      </w:r>
      <w:r>
        <w:t xml:space="preserve"> </w:t>
      </w:r>
      <w:r w:rsidRPr="00A55949">
        <w:t>enquiry</w:t>
      </w:r>
      <w:r>
        <w:t xml:space="preserve"> </w:t>
      </w:r>
      <w:r w:rsidRPr="00A55949">
        <w:t>and</w:t>
      </w:r>
      <w:r>
        <w:t xml:space="preserve"> </w:t>
      </w:r>
      <w:r w:rsidRPr="00A55949">
        <w:t>£3.3</w:t>
      </w:r>
      <w:r>
        <w:t xml:space="preserve"> </w:t>
      </w:r>
      <w:r w:rsidRPr="00A55949">
        <w:t>million</w:t>
      </w:r>
      <w:r>
        <w:t xml:space="preserve"> provision for the </w:t>
      </w:r>
      <w:r w:rsidRPr="00A55949">
        <w:t>estimated</w:t>
      </w:r>
      <w:r>
        <w:t xml:space="preserve"> </w:t>
      </w:r>
      <w:r w:rsidRPr="00A55949">
        <w:t>liabilities</w:t>
      </w:r>
      <w:r>
        <w:t xml:space="preserve"> </w:t>
      </w:r>
      <w:r w:rsidRPr="00A55949">
        <w:t>payable</w:t>
      </w:r>
      <w:r>
        <w:t xml:space="preserve"> </w:t>
      </w:r>
      <w:r w:rsidRPr="00A55949">
        <w:t>to</w:t>
      </w:r>
      <w:r>
        <w:t xml:space="preserve"> </w:t>
      </w:r>
      <w:r w:rsidRPr="00A55949">
        <w:t>third</w:t>
      </w:r>
      <w:r>
        <w:t xml:space="preserve"> </w:t>
      </w:r>
      <w:r w:rsidRPr="00A55949">
        <w:t>parties,</w:t>
      </w:r>
      <w:r>
        <w:t xml:space="preserve"> </w:t>
      </w:r>
      <w:r w:rsidRPr="00A55949">
        <w:t>arising</w:t>
      </w:r>
      <w:r>
        <w:t xml:space="preserve"> </w:t>
      </w:r>
      <w:r w:rsidRPr="00A55949">
        <w:t>from</w:t>
      </w:r>
      <w:r>
        <w:t xml:space="preserve"> </w:t>
      </w:r>
      <w:r w:rsidRPr="00A55949">
        <w:t>uninsured,</w:t>
      </w:r>
      <w:r>
        <w:t xml:space="preserve"> </w:t>
      </w:r>
      <w:r w:rsidRPr="00A55949">
        <w:t>or</w:t>
      </w:r>
      <w:r>
        <w:t xml:space="preserve"> </w:t>
      </w:r>
      <w:r w:rsidRPr="00A55949">
        <w:t>partly</w:t>
      </w:r>
      <w:r>
        <w:t xml:space="preserve"> </w:t>
      </w:r>
      <w:r w:rsidRPr="00A55949">
        <w:t>uninsured,</w:t>
      </w:r>
      <w:r>
        <w:t xml:space="preserve"> </w:t>
      </w:r>
      <w:r w:rsidRPr="00A55949">
        <w:t>claims</w:t>
      </w:r>
      <w:r>
        <w:t xml:space="preserve"> </w:t>
      </w:r>
      <w:r w:rsidRPr="00A55949">
        <w:t>for</w:t>
      </w:r>
      <w:r>
        <w:t xml:space="preserve"> </w:t>
      </w:r>
      <w:r w:rsidRPr="00A55949">
        <w:t>damages</w:t>
      </w:r>
      <w:r>
        <w:t xml:space="preserve"> </w:t>
      </w:r>
      <w:r w:rsidRPr="00A55949">
        <w:t>in</w:t>
      </w:r>
      <w:r>
        <w:t xml:space="preserve"> </w:t>
      </w:r>
      <w:r w:rsidRPr="00A55949">
        <w:t>respect</w:t>
      </w:r>
      <w:r>
        <w:t xml:space="preserve"> </w:t>
      </w:r>
      <w:r w:rsidRPr="00A55949">
        <w:t>of</w:t>
      </w:r>
      <w:r>
        <w:t xml:space="preserve"> </w:t>
      </w:r>
      <w:r w:rsidRPr="00A55949">
        <w:t>the</w:t>
      </w:r>
      <w:r>
        <w:t xml:space="preserve"> </w:t>
      </w:r>
      <w:r w:rsidRPr="00A55949">
        <w:t>supply</w:t>
      </w:r>
      <w:r>
        <w:t xml:space="preserve"> </w:t>
      </w:r>
      <w:r w:rsidRPr="00A55949">
        <w:t>of</w:t>
      </w:r>
      <w:r>
        <w:t xml:space="preserve"> </w:t>
      </w:r>
      <w:r w:rsidRPr="00A55949">
        <w:t>medical</w:t>
      </w:r>
      <w:r>
        <w:t xml:space="preserve"> </w:t>
      </w:r>
      <w:r w:rsidRPr="00A55949">
        <w:t>products</w:t>
      </w:r>
      <w:r>
        <w:t xml:space="preserve"> </w:t>
      </w:r>
      <w:r w:rsidRPr="00A55949">
        <w:t>and</w:t>
      </w:r>
      <w:r>
        <w:t xml:space="preserve"> </w:t>
      </w:r>
      <w:r w:rsidRPr="00A55949">
        <w:t>other</w:t>
      </w:r>
      <w:r>
        <w:t xml:space="preserve"> </w:t>
      </w:r>
      <w:r w:rsidRPr="00A55949">
        <w:t>legal</w:t>
      </w:r>
      <w:r>
        <w:t xml:space="preserve"> </w:t>
      </w:r>
      <w:r w:rsidRPr="00A55949">
        <w:t>claims</w:t>
      </w:r>
      <w:r>
        <w:t xml:space="preserve"> </w:t>
      </w:r>
      <w:r w:rsidRPr="00A55949">
        <w:t>made</w:t>
      </w:r>
      <w:r>
        <w:t xml:space="preserve"> </w:t>
      </w:r>
      <w:r w:rsidRPr="00A55949">
        <w:t>in</w:t>
      </w:r>
      <w:r>
        <w:t xml:space="preserve"> </w:t>
      </w:r>
      <w:r w:rsidRPr="00A55949">
        <w:t>respect</w:t>
      </w:r>
      <w:r>
        <w:t xml:space="preserve"> </w:t>
      </w:r>
      <w:r w:rsidRPr="00A55949">
        <w:t>of</w:t>
      </w:r>
      <w:r>
        <w:t xml:space="preserve"> </w:t>
      </w:r>
      <w:r w:rsidRPr="00A55949">
        <w:t>services</w:t>
      </w:r>
      <w:r>
        <w:t xml:space="preserve"> </w:t>
      </w:r>
      <w:r w:rsidRPr="00A55949">
        <w:t>previously</w:t>
      </w:r>
      <w:r>
        <w:t xml:space="preserve"> </w:t>
      </w:r>
      <w:r w:rsidRPr="00A55949">
        <w:t>supplied</w:t>
      </w:r>
      <w:r>
        <w:t xml:space="preserve"> </w:t>
      </w:r>
      <w:r w:rsidRPr="00A55949">
        <w:t>to</w:t>
      </w:r>
      <w:r>
        <w:t xml:space="preserve"> </w:t>
      </w:r>
      <w:r w:rsidRPr="00A55949">
        <w:t>patients.</w:t>
      </w:r>
      <w:r>
        <w:t xml:space="preserve"> </w:t>
      </w:r>
      <w:r w:rsidRPr="00A55949">
        <w:t>These</w:t>
      </w:r>
      <w:r>
        <w:t xml:space="preserve"> </w:t>
      </w:r>
      <w:r w:rsidRPr="00A55949">
        <w:t>costs</w:t>
      </w:r>
      <w:r>
        <w:t xml:space="preserve"> </w:t>
      </w:r>
      <w:r w:rsidRPr="00A55949">
        <w:t>were</w:t>
      </w:r>
      <w:r>
        <w:t xml:space="preserve"> </w:t>
      </w:r>
      <w:r w:rsidRPr="00A55949">
        <w:t>largely</w:t>
      </w:r>
      <w:r>
        <w:t xml:space="preserve"> </w:t>
      </w:r>
      <w:r w:rsidRPr="00A55949">
        <w:t>tax</w:t>
      </w:r>
      <w:r>
        <w:t xml:space="preserve"> </w:t>
      </w:r>
      <w:r w:rsidRPr="00A55949">
        <w:t>deductible</w:t>
      </w:r>
      <w:r>
        <w:t xml:space="preserve">, </w:t>
      </w:r>
      <w:r w:rsidRPr="00A55949">
        <w:t>except</w:t>
      </w:r>
      <w:r>
        <w:t xml:space="preserve"> </w:t>
      </w:r>
      <w:r w:rsidRPr="00A55949">
        <w:t>for</w:t>
      </w:r>
      <w:r>
        <w:t xml:space="preserve"> </w:t>
      </w:r>
      <w:r w:rsidRPr="00A55949">
        <w:t>the</w:t>
      </w:r>
      <w:r>
        <w:t xml:space="preserve"> </w:t>
      </w:r>
      <w:r w:rsidRPr="00A55949">
        <w:t>costs</w:t>
      </w:r>
      <w:r>
        <w:t xml:space="preserve"> </w:t>
      </w:r>
      <w:r w:rsidRPr="00A55949">
        <w:t>of</w:t>
      </w:r>
      <w:r>
        <w:t xml:space="preserve"> </w:t>
      </w:r>
      <w:r w:rsidRPr="00A55949">
        <w:t>acquisition</w:t>
      </w:r>
      <w:r>
        <w:t xml:space="preserve"> </w:t>
      </w:r>
      <w:r w:rsidRPr="00A55949">
        <w:t>of</w:t>
      </w:r>
      <w:r>
        <w:t xml:space="preserve"> </w:t>
      </w:r>
      <w:r w:rsidRPr="00A55949">
        <w:t>St</w:t>
      </w:r>
      <w:r>
        <w:t xml:space="preserve"> </w:t>
      </w:r>
      <w:r w:rsidRPr="00A55949">
        <w:t>Anthony</w:t>
      </w:r>
      <w:r>
        <w:t>’</w:t>
      </w:r>
      <w:r w:rsidRPr="00A55949">
        <w:t>s</w:t>
      </w:r>
      <w:r>
        <w:t xml:space="preserve"> </w:t>
      </w:r>
      <w:r w:rsidRPr="00A55949">
        <w:t>Hospital</w:t>
      </w:r>
      <w:r w:rsidR="00725EE9" w:rsidRPr="00594FCF">
        <w:t>.</w:t>
      </w:r>
    </w:p>
    <w:p w14:paraId="1A264967" w14:textId="4ECE1260" w:rsidR="00725EE9" w:rsidRPr="00594FCF" w:rsidRDefault="00364452" w:rsidP="009E2D7C">
      <w:pPr>
        <w:pStyle w:val="Heading3"/>
        <w:jc w:val="both"/>
      </w:pPr>
      <w:r>
        <w:t xml:space="preserve">8. </w:t>
      </w:r>
      <w:r w:rsidR="00725EE9" w:rsidRPr="00594FCF">
        <w:t>Profit on disposal of property, plant and equipment</w:t>
      </w:r>
    </w:p>
    <w:p w14:paraId="49DABD06" w14:textId="77777777" w:rsidR="00725EE9" w:rsidRPr="00594FCF" w:rsidRDefault="00725EE9" w:rsidP="009E2D7C">
      <w:pPr>
        <w:jc w:val="both"/>
      </w:pPr>
      <w:r w:rsidRPr="00594FCF">
        <w:t>On 15 August 2014, the Group completed the disposal of the assets of Spire Fertility (Disposal) Limited (formerly London Fertility Centre Limited) for a consideration of £3.0 million. The assets had a net book value at the disposal date of £3.8 million.</w:t>
      </w:r>
    </w:p>
    <w:p w14:paraId="67926964" w14:textId="2F7FA401" w:rsidR="00725EE9" w:rsidRPr="00594FCF" w:rsidRDefault="00725EE9" w:rsidP="009E2D7C">
      <w:pPr>
        <w:jc w:val="both"/>
      </w:pPr>
      <w:r w:rsidRPr="00594FCF">
        <w:t>On 11 March 2014, the Group completed the sale of a long leasehold interest in the land and buildings of the Spire Washington Hospital, Washington, Tyne and Wear</w:t>
      </w:r>
      <w:r w:rsidR="007779F1">
        <w:t>,</w:t>
      </w:r>
      <w:r w:rsidRPr="00594FCF">
        <w:t xml:space="preserve"> for a consideration of £32.3 million. The property and associated plant and equipment had a net book value at the disposal date of £12.3 million.</w:t>
      </w:r>
    </w:p>
    <w:p w14:paraId="5A6CC440" w14:textId="3B0C50C5" w:rsidR="00725EE9" w:rsidRPr="00594FCF" w:rsidRDefault="00364452" w:rsidP="00364452">
      <w:pPr>
        <w:pStyle w:val="Heading3"/>
      </w:pPr>
      <w:r>
        <w:t xml:space="preserve">9. </w:t>
      </w:r>
      <w:r w:rsidR="00725EE9" w:rsidRPr="00594FCF">
        <w:t>Finance costs</w:t>
      </w:r>
    </w:p>
    <w:tbl>
      <w:tblPr>
        <w:tblW w:w="9072" w:type="dxa"/>
        <w:tblLayout w:type="fixed"/>
        <w:tblCellMar>
          <w:left w:w="0" w:type="dxa"/>
          <w:right w:w="57" w:type="dxa"/>
        </w:tblCellMar>
        <w:tblLook w:val="0000" w:firstRow="0" w:lastRow="0" w:firstColumn="0" w:lastColumn="0" w:noHBand="0" w:noVBand="0"/>
      </w:tblPr>
      <w:tblGrid>
        <w:gridCol w:w="6634"/>
        <w:gridCol w:w="1222"/>
        <w:gridCol w:w="1216"/>
      </w:tblGrid>
      <w:tr w:rsidR="00B626AD" w:rsidRPr="00594FCF" w14:paraId="380CBAEA" w14:textId="77777777" w:rsidTr="00055514">
        <w:tc>
          <w:tcPr>
            <w:tcW w:w="6634" w:type="dxa"/>
            <w:tcBorders>
              <w:bottom w:val="single" w:sz="4" w:space="0" w:color="93B7BB"/>
            </w:tcBorders>
            <w:vAlign w:val="bottom"/>
          </w:tcPr>
          <w:p w14:paraId="19B1C1DD" w14:textId="77777777" w:rsidR="00B626AD" w:rsidRPr="00B626AD" w:rsidRDefault="00B626AD" w:rsidP="00B626AD">
            <w:pPr>
              <w:pStyle w:val="Tableheading"/>
            </w:pPr>
            <w:r w:rsidRPr="00B626AD">
              <w:t>(£ million)</w:t>
            </w:r>
          </w:p>
        </w:tc>
        <w:tc>
          <w:tcPr>
            <w:tcW w:w="1222" w:type="dxa"/>
            <w:tcBorders>
              <w:bottom w:val="single" w:sz="4" w:space="0" w:color="93B7BB"/>
            </w:tcBorders>
            <w:vAlign w:val="bottom"/>
          </w:tcPr>
          <w:p w14:paraId="5367035E" w14:textId="1E677417" w:rsidR="00B626AD" w:rsidRPr="00B626AD" w:rsidRDefault="00B626AD" w:rsidP="00055514">
            <w:pPr>
              <w:pStyle w:val="Tableheading"/>
              <w:jc w:val="right"/>
              <w:rPr>
                <w:b/>
              </w:rPr>
            </w:pPr>
            <w:r w:rsidRPr="00B626AD">
              <w:rPr>
                <w:b/>
              </w:rPr>
              <w:t>201</w:t>
            </w:r>
            <w:r w:rsidR="00055514">
              <w:rPr>
                <w:b/>
              </w:rPr>
              <w:t>5</w:t>
            </w:r>
          </w:p>
        </w:tc>
        <w:tc>
          <w:tcPr>
            <w:tcW w:w="1216" w:type="dxa"/>
            <w:tcBorders>
              <w:bottom w:val="single" w:sz="4" w:space="0" w:color="93B7BB"/>
            </w:tcBorders>
            <w:vAlign w:val="bottom"/>
          </w:tcPr>
          <w:p w14:paraId="31F8FCF3" w14:textId="216EE1AA" w:rsidR="00B626AD" w:rsidRPr="00B626AD" w:rsidRDefault="00B626AD" w:rsidP="00055514">
            <w:pPr>
              <w:pStyle w:val="Tableheading"/>
              <w:jc w:val="right"/>
            </w:pPr>
            <w:r w:rsidRPr="00B626AD">
              <w:t>201</w:t>
            </w:r>
            <w:r w:rsidR="00055514">
              <w:t>4</w:t>
            </w:r>
          </w:p>
        </w:tc>
      </w:tr>
      <w:tr w:rsidR="00055514" w:rsidRPr="00594FCF" w14:paraId="197833C4" w14:textId="77777777" w:rsidTr="00055514">
        <w:tc>
          <w:tcPr>
            <w:tcW w:w="6634" w:type="dxa"/>
            <w:tcBorders>
              <w:top w:val="single" w:sz="4" w:space="0" w:color="93B7BB"/>
            </w:tcBorders>
          </w:tcPr>
          <w:p w14:paraId="5B6B652B" w14:textId="77777777" w:rsidR="00055514" w:rsidRPr="00594FCF" w:rsidRDefault="00055514" w:rsidP="00B626AD">
            <w:pPr>
              <w:pStyle w:val="Tabletext"/>
            </w:pPr>
            <w:r w:rsidRPr="00594FCF">
              <w:rPr>
                <w:lang w:val="en-US" w:eastAsia="nl-NL"/>
              </w:rPr>
              <w:t>Interest on loans from former ultimate parent undertakings and management</w:t>
            </w:r>
          </w:p>
        </w:tc>
        <w:tc>
          <w:tcPr>
            <w:tcW w:w="1222" w:type="dxa"/>
            <w:tcBorders>
              <w:top w:val="single" w:sz="4" w:space="0" w:color="93B7BB"/>
            </w:tcBorders>
            <w:shd w:val="clear" w:color="auto" w:fill="EFF4F5"/>
            <w:vAlign w:val="bottom"/>
          </w:tcPr>
          <w:p w14:paraId="42150B5F" w14:textId="38EC4618" w:rsidR="00055514" w:rsidRPr="0080483E" w:rsidRDefault="0080483E" w:rsidP="00B626AD">
            <w:pPr>
              <w:pStyle w:val="Tabletext"/>
              <w:jc w:val="right"/>
              <w:rPr>
                <w:b/>
              </w:rPr>
            </w:pPr>
            <w:r w:rsidRPr="0080483E">
              <w:rPr>
                <w:b/>
              </w:rPr>
              <w:t>–</w:t>
            </w:r>
          </w:p>
        </w:tc>
        <w:tc>
          <w:tcPr>
            <w:tcW w:w="1216" w:type="dxa"/>
            <w:tcBorders>
              <w:top w:val="single" w:sz="4" w:space="0" w:color="93B7BB"/>
            </w:tcBorders>
            <w:vAlign w:val="bottom"/>
          </w:tcPr>
          <w:p w14:paraId="3C6212CE" w14:textId="4D20AE12" w:rsidR="00055514" w:rsidRPr="00055514" w:rsidRDefault="00055514" w:rsidP="00B626AD">
            <w:pPr>
              <w:pStyle w:val="Tabletext"/>
              <w:jc w:val="right"/>
            </w:pPr>
            <w:r w:rsidRPr="00055514">
              <w:t>54.8</w:t>
            </w:r>
          </w:p>
        </w:tc>
      </w:tr>
      <w:tr w:rsidR="00055514" w:rsidRPr="00594FCF" w14:paraId="0B6EEE82" w14:textId="77777777" w:rsidTr="00055514">
        <w:tc>
          <w:tcPr>
            <w:tcW w:w="6634" w:type="dxa"/>
          </w:tcPr>
          <w:p w14:paraId="3366B242" w14:textId="77777777" w:rsidR="00055514" w:rsidRPr="00594FCF" w:rsidRDefault="00055514" w:rsidP="00B626AD">
            <w:pPr>
              <w:pStyle w:val="Tabletext"/>
            </w:pPr>
            <w:r w:rsidRPr="00594FCF">
              <w:rPr>
                <w:lang w:val="en-US" w:eastAsia="nl-NL"/>
              </w:rPr>
              <w:t>Interest on bank facilities</w:t>
            </w:r>
          </w:p>
        </w:tc>
        <w:tc>
          <w:tcPr>
            <w:tcW w:w="1222" w:type="dxa"/>
            <w:shd w:val="clear" w:color="auto" w:fill="EFF4F5"/>
            <w:vAlign w:val="bottom"/>
          </w:tcPr>
          <w:p w14:paraId="05D14F78" w14:textId="5B49E457" w:rsidR="00055514" w:rsidRPr="00B626AD" w:rsidRDefault="0080483E" w:rsidP="00B626AD">
            <w:pPr>
              <w:pStyle w:val="Tabletext"/>
              <w:jc w:val="right"/>
              <w:rPr>
                <w:b/>
              </w:rPr>
            </w:pPr>
            <w:r>
              <w:rPr>
                <w:b/>
              </w:rPr>
              <w:t>13.2</w:t>
            </w:r>
          </w:p>
        </w:tc>
        <w:tc>
          <w:tcPr>
            <w:tcW w:w="1216" w:type="dxa"/>
            <w:vAlign w:val="bottom"/>
          </w:tcPr>
          <w:p w14:paraId="49E258A1" w14:textId="3DAB0BCD" w:rsidR="00055514" w:rsidRPr="00055514" w:rsidRDefault="00055514" w:rsidP="00B626AD">
            <w:pPr>
              <w:pStyle w:val="Tabletext"/>
              <w:jc w:val="right"/>
            </w:pPr>
            <w:r w:rsidRPr="00055514">
              <w:t>26.9</w:t>
            </w:r>
          </w:p>
        </w:tc>
      </w:tr>
      <w:tr w:rsidR="00055514" w:rsidRPr="00594FCF" w14:paraId="1BDD0976" w14:textId="77777777" w:rsidTr="00055514">
        <w:tc>
          <w:tcPr>
            <w:tcW w:w="6634" w:type="dxa"/>
          </w:tcPr>
          <w:p w14:paraId="39C0B8C9" w14:textId="77777777" w:rsidR="00055514" w:rsidRPr="00594FCF" w:rsidRDefault="00055514" w:rsidP="00B626AD">
            <w:pPr>
              <w:pStyle w:val="Tabletext"/>
            </w:pPr>
            <w:r w:rsidRPr="00594FCF">
              <w:rPr>
                <w:lang w:val="en-US" w:eastAsia="nl-NL"/>
              </w:rPr>
              <w:t>Finance charges payable under finance leases</w:t>
            </w:r>
          </w:p>
        </w:tc>
        <w:tc>
          <w:tcPr>
            <w:tcW w:w="1222" w:type="dxa"/>
            <w:shd w:val="clear" w:color="auto" w:fill="EFF4F5"/>
            <w:vAlign w:val="bottom"/>
          </w:tcPr>
          <w:p w14:paraId="317DBC68" w14:textId="3CC9B220" w:rsidR="00055514" w:rsidRPr="00B626AD" w:rsidRDefault="0080483E" w:rsidP="00B626AD">
            <w:pPr>
              <w:pStyle w:val="Tabletext"/>
              <w:jc w:val="right"/>
              <w:rPr>
                <w:b/>
              </w:rPr>
            </w:pPr>
            <w:r>
              <w:rPr>
                <w:b/>
              </w:rPr>
              <w:t>8.5</w:t>
            </w:r>
          </w:p>
        </w:tc>
        <w:tc>
          <w:tcPr>
            <w:tcW w:w="1216" w:type="dxa"/>
            <w:vAlign w:val="bottom"/>
          </w:tcPr>
          <w:p w14:paraId="3FB19CE6" w14:textId="59093B79" w:rsidR="00055514" w:rsidRPr="00055514" w:rsidRDefault="00055514" w:rsidP="00B626AD">
            <w:pPr>
              <w:pStyle w:val="Tabletext"/>
              <w:jc w:val="right"/>
            </w:pPr>
            <w:r w:rsidRPr="00055514">
              <w:t>7.6</w:t>
            </w:r>
          </w:p>
        </w:tc>
      </w:tr>
      <w:tr w:rsidR="00055514" w:rsidRPr="00594FCF" w14:paraId="4BFA4390" w14:textId="77777777" w:rsidTr="00055514">
        <w:tc>
          <w:tcPr>
            <w:tcW w:w="6634" w:type="dxa"/>
            <w:tcBorders>
              <w:bottom w:val="single" w:sz="4" w:space="0" w:color="93B7BB"/>
            </w:tcBorders>
          </w:tcPr>
          <w:p w14:paraId="09C0A88C" w14:textId="77777777" w:rsidR="00055514" w:rsidRPr="00594FCF" w:rsidRDefault="00055514" w:rsidP="00B626AD">
            <w:pPr>
              <w:pStyle w:val="Tabletext"/>
            </w:pPr>
            <w:r w:rsidRPr="00594FCF">
              <w:rPr>
                <w:lang w:val="en-US" w:eastAsia="nl-NL"/>
              </w:rPr>
              <w:t>Change in fair value of interest rate derivatives</w:t>
            </w:r>
          </w:p>
        </w:tc>
        <w:tc>
          <w:tcPr>
            <w:tcW w:w="1222" w:type="dxa"/>
            <w:tcBorders>
              <w:bottom w:val="single" w:sz="4" w:space="0" w:color="93B7BB"/>
            </w:tcBorders>
            <w:shd w:val="clear" w:color="auto" w:fill="EFF4F5"/>
            <w:vAlign w:val="bottom"/>
          </w:tcPr>
          <w:p w14:paraId="3F0EAA92" w14:textId="20C34B45" w:rsidR="00055514" w:rsidRPr="0080483E" w:rsidRDefault="0080483E" w:rsidP="00B626AD">
            <w:pPr>
              <w:pStyle w:val="Tabletext"/>
              <w:jc w:val="right"/>
              <w:rPr>
                <w:b/>
              </w:rPr>
            </w:pPr>
            <w:r w:rsidRPr="0080483E">
              <w:rPr>
                <w:b/>
              </w:rPr>
              <w:t>–</w:t>
            </w:r>
          </w:p>
        </w:tc>
        <w:tc>
          <w:tcPr>
            <w:tcW w:w="1216" w:type="dxa"/>
            <w:tcBorders>
              <w:bottom w:val="single" w:sz="4" w:space="0" w:color="93B7BB"/>
            </w:tcBorders>
            <w:vAlign w:val="bottom"/>
          </w:tcPr>
          <w:p w14:paraId="30B28738" w14:textId="50EF3291" w:rsidR="00055514" w:rsidRPr="00055514" w:rsidRDefault="00055514" w:rsidP="00B626AD">
            <w:pPr>
              <w:pStyle w:val="Tabletext"/>
              <w:jc w:val="right"/>
            </w:pPr>
            <w:r w:rsidRPr="00055514">
              <w:t>(2.8)</w:t>
            </w:r>
          </w:p>
        </w:tc>
      </w:tr>
      <w:tr w:rsidR="00055514" w:rsidRPr="00594FCF" w14:paraId="0F5CDE79" w14:textId="77777777" w:rsidTr="00055514">
        <w:tc>
          <w:tcPr>
            <w:tcW w:w="6634" w:type="dxa"/>
            <w:tcBorders>
              <w:top w:val="single" w:sz="4" w:space="0" w:color="93B7BB"/>
            </w:tcBorders>
          </w:tcPr>
          <w:p w14:paraId="5AFECB72" w14:textId="77777777" w:rsidR="00055514" w:rsidRPr="00594FCF" w:rsidRDefault="00055514" w:rsidP="00B626AD">
            <w:pPr>
              <w:pStyle w:val="Tabletext"/>
              <w:rPr>
                <w:lang w:val="en-US" w:eastAsia="nl-NL"/>
              </w:rPr>
            </w:pPr>
          </w:p>
        </w:tc>
        <w:tc>
          <w:tcPr>
            <w:tcW w:w="1222" w:type="dxa"/>
            <w:tcBorders>
              <w:top w:val="single" w:sz="4" w:space="0" w:color="93B7BB"/>
            </w:tcBorders>
            <w:shd w:val="clear" w:color="auto" w:fill="EFF4F5"/>
            <w:vAlign w:val="bottom"/>
          </w:tcPr>
          <w:p w14:paraId="7BCFAFF9" w14:textId="7F2B6124" w:rsidR="00055514" w:rsidRPr="00B626AD" w:rsidRDefault="0080483E" w:rsidP="00B626AD">
            <w:pPr>
              <w:pStyle w:val="Tabletext"/>
              <w:jc w:val="right"/>
              <w:rPr>
                <w:b/>
              </w:rPr>
            </w:pPr>
            <w:r>
              <w:rPr>
                <w:b/>
              </w:rPr>
              <w:t>21.7</w:t>
            </w:r>
          </w:p>
        </w:tc>
        <w:tc>
          <w:tcPr>
            <w:tcW w:w="1216" w:type="dxa"/>
            <w:tcBorders>
              <w:top w:val="single" w:sz="4" w:space="0" w:color="93B7BB"/>
            </w:tcBorders>
            <w:vAlign w:val="bottom"/>
          </w:tcPr>
          <w:p w14:paraId="699EE24F" w14:textId="0CF5C1E2" w:rsidR="00055514" w:rsidRPr="00055514" w:rsidRDefault="00055514" w:rsidP="00B626AD">
            <w:pPr>
              <w:pStyle w:val="Tabletext"/>
              <w:jc w:val="right"/>
            </w:pPr>
            <w:r w:rsidRPr="00055514">
              <w:t>86.5</w:t>
            </w:r>
          </w:p>
        </w:tc>
      </w:tr>
      <w:tr w:rsidR="00055514" w:rsidRPr="00594FCF" w14:paraId="69F5D762" w14:textId="77777777" w:rsidTr="00055514">
        <w:tc>
          <w:tcPr>
            <w:tcW w:w="6634" w:type="dxa"/>
            <w:tcBorders>
              <w:bottom w:val="single" w:sz="4" w:space="0" w:color="93B7BB"/>
            </w:tcBorders>
          </w:tcPr>
          <w:p w14:paraId="78CF7F67" w14:textId="77777777" w:rsidR="00055514" w:rsidRPr="00594FCF" w:rsidRDefault="00055514" w:rsidP="00B626AD">
            <w:pPr>
              <w:pStyle w:val="Tabletext"/>
              <w:rPr>
                <w:lang w:val="en-US" w:eastAsia="nl-NL"/>
              </w:rPr>
            </w:pPr>
            <w:r w:rsidRPr="00594FCF">
              <w:rPr>
                <w:lang w:val="en-US" w:eastAsia="nl-NL"/>
              </w:rPr>
              <w:t xml:space="preserve">Finance costs </w:t>
            </w:r>
            <w:proofErr w:type="spellStart"/>
            <w:r w:rsidRPr="00594FCF">
              <w:rPr>
                <w:lang w:val="en-US" w:eastAsia="nl-NL"/>
              </w:rPr>
              <w:t>capitalised</w:t>
            </w:r>
            <w:proofErr w:type="spellEnd"/>
            <w:r w:rsidRPr="00594FCF">
              <w:rPr>
                <w:lang w:val="en-US" w:eastAsia="nl-NL"/>
              </w:rPr>
              <w:t xml:space="preserve"> in the year</w:t>
            </w:r>
          </w:p>
        </w:tc>
        <w:tc>
          <w:tcPr>
            <w:tcW w:w="1222" w:type="dxa"/>
            <w:tcBorders>
              <w:bottom w:val="single" w:sz="4" w:space="0" w:color="93B7BB"/>
            </w:tcBorders>
            <w:shd w:val="clear" w:color="auto" w:fill="EFF4F5"/>
            <w:vAlign w:val="bottom"/>
          </w:tcPr>
          <w:p w14:paraId="4B577C24" w14:textId="53F4D30E" w:rsidR="00055514" w:rsidRPr="00B626AD" w:rsidRDefault="0080483E" w:rsidP="00B626AD">
            <w:pPr>
              <w:pStyle w:val="Tabletext"/>
              <w:jc w:val="right"/>
              <w:rPr>
                <w:b/>
              </w:rPr>
            </w:pPr>
            <w:r>
              <w:rPr>
                <w:b/>
              </w:rPr>
              <w:t>(0.3)</w:t>
            </w:r>
          </w:p>
        </w:tc>
        <w:tc>
          <w:tcPr>
            <w:tcW w:w="1216" w:type="dxa"/>
            <w:tcBorders>
              <w:bottom w:val="single" w:sz="4" w:space="0" w:color="93B7BB"/>
            </w:tcBorders>
            <w:vAlign w:val="bottom"/>
          </w:tcPr>
          <w:p w14:paraId="7642564E" w14:textId="01A322D2" w:rsidR="00055514" w:rsidRPr="00055514" w:rsidRDefault="00055514" w:rsidP="00B626AD">
            <w:pPr>
              <w:pStyle w:val="Tabletext"/>
              <w:jc w:val="right"/>
            </w:pPr>
            <w:r w:rsidRPr="00055514">
              <w:t>(0.6)</w:t>
            </w:r>
          </w:p>
        </w:tc>
      </w:tr>
      <w:tr w:rsidR="00055514" w:rsidRPr="00594FCF" w14:paraId="21CA3EC0" w14:textId="77777777" w:rsidTr="00055514">
        <w:tc>
          <w:tcPr>
            <w:tcW w:w="6634" w:type="dxa"/>
            <w:tcBorders>
              <w:top w:val="single" w:sz="4" w:space="0" w:color="93B7BB"/>
              <w:bottom w:val="single" w:sz="4" w:space="0" w:color="93B7BB"/>
            </w:tcBorders>
          </w:tcPr>
          <w:p w14:paraId="1754BDEB" w14:textId="70D317EC" w:rsidR="00055514" w:rsidRPr="00594FCF" w:rsidRDefault="008B24AC" w:rsidP="00B626AD">
            <w:pPr>
              <w:pStyle w:val="Tabletext"/>
              <w:rPr>
                <w:lang w:val="en-US" w:eastAsia="nl-NL"/>
              </w:rPr>
            </w:pPr>
            <w:r w:rsidRPr="00594FCF">
              <w:rPr>
                <w:lang w:val="en-US" w:eastAsia="nl-NL"/>
              </w:rPr>
              <w:t>Total finance costs</w:t>
            </w:r>
          </w:p>
        </w:tc>
        <w:tc>
          <w:tcPr>
            <w:tcW w:w="1222" w:type="dxa"/>
            <w:tcBorders>
              <w:top w:val="single" w:sz="4" w:space="0" w:color="93B7BB"/>
              <w:bottom w:val="single" w:sz="4" w:space="0" w:color="93B7BB"/>
            </w:tcBorders>
            <w:shd w:val="clear" w:color="auto" w:fill="EFF4F5"/>
            <w:vAlign w:val="bottom"/>
          </w:tcPr>
          <w:p w14:paraId="2906A8C1" w14:textId="7251B14D" w:rsidR="00055514" w:rsidRPr="00B626AD" w:rsidRDefault="0080483E" w:rsidP="00B626AD">
            <w:pPr>
              <w:pStyle w:val="Tabletext"/>
              <w:jc w:val="right"/>
              <w:rPr>
                <w:b/>
              </w:rPr>
            </w:pPr>
            <w:r>
              <w:rPr>
                <w:b/>
              </w:rPr>
              <w:t>21.4</w:t>
            </w:r>
          </w:p>
        </w:tc>
        <w:tc>
          <w:tcPr>
            <w:tcW w:w="1216" w:type="dxa"/>
            <w:tcBorders>
              <w:top w:val="single" w:sz="4" w:space="0" w:color="93B7BB"/>
              <w:bottom w:val="single" w:sz="4" w:space="0" w:color="93B7BB"/>
            </w:tcBorders>
            <w:vAlign w:val="bottom"/>
          </w:tcPr>
          <w:p w14:paraId="7F84B96B" w14:textId="1D0461B1" w:rsidR="00055514" w:rsidRPr="00055514" w:rsidRDefault="00055514" w:rsidP="00B626AD">
            <w:pPr>
              <w:pStyle w:val="Tabletext"/>
              <w:jc w:val="right"/>
            </w:pPr>
            <w:r w:rsidRPr="00055514">
              <w:t>85.9</w:t>
            </w:r>
          </w:p>
        </w:tc>
      </w:tr>
    </w:tbl>
    <w:p w14:paraId="7985333B" w14:textId="77777777" w:rsidR="00B626AD" w:rsidRDefault="00B626AD" w:rsidP="00B626AD">
      <w:pPr>
        <w:pStyle w:val="Footnote"/>
      </w:pPr>
    </w:p>
    <w:p w14:paraId="060B62FC" w14:textId="2694A319" w:rsidR="00725EE9" w:rsidRPr="00594FCF" w:rsidRDefault="0080483E" w:rsidP="009E2D7C">
      <w:pPr>
        <w:jc w:val="both"/>
      </w:pPr>
      <w:r w:rsidRPr="00A55949">
        <w:t>Finance</w:t>
      </w:r>
      <w:r>
        <w:t xml:space="preserve"> </w:t>
      </w:r>
      <w:r w:rsidRPr="00A55949">
        <w:t>costs</w:t>
      </w:r>
      <w:r>
        <w:t xml:space="preserve"> </w:t>
      </w:r>
      <w:r w:rsidRPr="00A55949">
        <w:t>capitalised</w:t>
      </w:r>
      <w:r>
        <w:t xml:space="preserve"> </w:t>
      </w:r>
      <w:r w:rsidRPr="00A55949">
        <w:t>during</w:t>
      </w:r>
      <w:r>
        <w:t xml:space="preserve"> </w:t>
      </w:r>
      <w:r w:rsidRPr="00A55949">
        <w:t>the</w:t>
      </w:r>
      <w:r>
        <w:t xml:space="preserve"> </w:t>
      </w:r>
      <w:r w:rsidRPr="00A55949">
        <w:t>year</w:t>
      </w:r>
      <w:r>
        <w:t xml:space="preserve"> </w:t>
      </w:r>
      <w:r w:rsidRPr="00A55949">
        <w:t>were</w:t>
      </w:r>
      <w:r>
        <w:t xml:space="preserve"> </w:t>
      </w:r>
      <w:r w:rsidRPr="00A55949">
        <w:t>calculated</w:t>
      </w:r>
      <w:r>
        <w:t xml:space="preserve"> </w:t>
      </w:r>
      <w:r w:rsidRPr="00A55949">
        <w:t>based</w:t>
      </w:r>
      <w:r>
        <w:t xml:space="preserve"> </w:t>
      </w:r>
      <w:r w:rsidRPr="00A55949">
        <w:t>on</w:t>
      </w:r>
      <w:r>
        <w:t xml:space="preserve"> </w:t>
      </w:r>
      <w:r w:rsidRPr="00A55949">
        <w:t>a</w:t>
      </w:r>
      <w:r>
        <w:t xml:space="preserve"> </w:t>
      </w:r>
      <w:r w:rsidRPr="00A55949">
        <w:t>weighted</w:t>
      </w:r>
      <w:r>
        <w:t xml:space="preserve"> </w:t>
      </w:r>
      <w:r w:rsidRPr="00A55949">
        <w:t>cost</w:t>
      </w:r>
      <w:r>
        <w:t xml:space="preserve"> </w:t>
      </w:r>
      <w:r w:rsidRPr="00A55949">
        <w:t>of</w:t>
      </w:r>
      <w:r>
        <w:t xml:space="preserve"> </w:t>
      </w:r>
      <w:r w:rsidRPr="00A55949">
        <w:t>borrowing</w:t>
      </w:r>
      <w:r>
        <w:t xml:space="preserve"> </w:t>
      </w:r>
      <w:r w:rsidRPr="00A55949">
        <w:t>of</w:t>
      </w:r>
      <w:r>
        <w:t xml:space="preserve"> 3.6</w:t>
      </w:r>
      <w:r w:rsidRPr="00A55949">
        <w:t>%</w:t>
      </w:r>
      <w:r>
        <w:t xml:space="preserve"> </w:t>
      </w:r>
      <w:r w:rsidRPr="00A55949">
        <w:t>(201</w:t>
      </w:r>
      <w:r>
        <w:t>4</w:t>
      </w:r>
      <w:r w:rsidRPr="00E854D5">
        <w:t>: 8</w:t>
      </w:r>
      <w:r>
        <w:t>.0</w:t>
      </w:r>
      <w:r w:rsidRPr="00E854D5">
        <w:t>%</w:t>
      </w:r>
      <w:r w:rsidR="00725EE9" w:rsidRPr="00594FCF">
        <w:t>).</w:t>
      </w:r>
    </w:p>
    <w:p w14:paraId="30796951" w14:textId="77777777" w:rsidR="00510698" w:rsidRDefault="00510698">
      <w:pPr>
        <w:spacing w:after="160" w:line="259" w:lineRule="auto"/>
        <w:rPr>
          <w:rFonts w:asciiTheme="majorHAnsi" w:eastAsiaTheme="majorEastAsia" w:hAnsiTheme="majorHAnsi" w:cstheme="majorBidi"/>
          <w:b/>
          <w:caps/>
          <w:color w:val="93B6BB"/>
          <w:szCs w:val="24"/>
        </w:rPr>
      </w:pPr>
      <w:r>
        <w:br w:type="page"/>
      </w:r>
    </w:p>
    <w:p w14:paraId="144D4261" w14:textId="7C5A5695" w:rsidR="00725EE9" w:rsidRDefault="00364452" w:rsidP="008B24AC">
      <w:pPr>
        <w:pStyle w:val="Heading3"/>
      </w:pPr>
      <w:r>
        <w:lastRenderedPageBreak/>
        <w:t xml:space="preserve">10. </w:t>
      </w:r>
      <w:r w:rsidR="00725EE9">
        <w:t>Tax</w:t>
      </w:r>
      <w:r w:rsidR="00110B78">
        <w:t xml:space="preserve">ation </w:t>
      </w:r>
      <w:r w:rsidR="00725EE9">
        <w:t xml:space="preserve"> </w:t>
      </w:r>
    </w:p>
    <w:tbl>
      <w:tblPr>
        <w:tblW w:w="9072" w:type="dxa"/>
        <w:tblLayout w:type="fixed"/>
        <w:tblCellMar>
          <w:left w:w="0" w:type="dxa"/>
          <w:right w:w="57" w:type="dxa"/>
        </w:tblCellMar>
        <w:tblLook w:val="0000" w:firstRow="0" w:lastRow="0" w:firstColumn="0" w:lastColumn="0" w:noHBand="0" w:noVBand="0"/>
      </w:tblPr>
      <w:tblGrid>
        <w:gridCol w:w="6935"/>
        <w:gridCol w:w="936"/>
        <w:gridCol w:w="1201"/>
      </w:tblGrid>
      <w:tr w:rsidR="00B626AD" w:rsidRPr="00704A73" w14:paraId="46D18E22" w14:textId="77777777" w:rsidTr="0061319F">
        <w:tc>
          <w:tcPr>
            <w:tcW w:w="6935" w:type="dxa"/>
            <w:tcBorders>
              <w:bottom w:val="single" w:sz="4" w:space="0" w:color="93B7BB"/>
            </w:tcBorders>
            <w:vAlign w:val="bottom"/>
          </w:tcPr>
          <w:p w14:paraId="72F845D9" w14:textId="77777777" w:rsidR="00B626AD" w:rsidRPr="00B626AD" w:rsidRDefault="00B626AD" w:rsidP="00B626AD">
            <w:pPr>
              <w:pStyle w:val="Tableheading"/>
            </w:pPr>
            <w:r w:rsidRPr="00B626AD">
              <w:t>(£ million)</w:t>
            </w:r>
          </w:p>
        </w:tc>
        <w:tc>
          <w:tcPr>
            <w:tcW w:w="936" w:type="dxa"/>
            <w:tcBorders>
              <w:bottom w:val="single" w:sz="4" w:space="0" w:color="93B7BB"/>
            </w:tcBorders>
            <w:vAlign w:val="bottom"/>
          </w:tcPr>
          <w:p w14:paraId="399C8207" w14:textId="38028664" w:rsidR="00B626AD" w:rsidRPr="00B626AD" w:rsidRDefault="00B626AD" w:rsidP="005C50A7">
            <w:pPr>
              <w:pStyle w:val="Tableheading"/>
              <w:jc w:val="right"/>
              <w:rPr>
                <w:b/>
              </w:rPr>
            </w:pPr>
            <w:r w:rsidRPr="00B626AD">
              <w:rPr>
                <w:b/>
              </w:rPr>
              <w:t>201</w:t>
            </w:r>
            <w:r w:rsidR="005C50A7">
              <w:rPr>
                <w:b/>
              </w:rPr>
              <w:t>5</w:t>
            </w:r>
          </w:p>
        </w:tc>
        <w:tc>
          <w:tcPr>
            <w:tcW w:w="1201" w:type="dxa"/>
            <w:tcBorders>
              <w:bottom w:val="single" w:sz="4" w:space="0" w:color="93B7BB"/>
            </w:tcBorders>
            <w:vAlign w:val="bottom"/>
          </w:tcPr>
          <w:p w14:paraId="44352B79" w14:textId="66D7778D" w:rsidR="00B626AD" w:rsidRPr="00B626AD" w:rsidRDefault="00B626AD" w:rsidP="005C50A7">
            <w:pPr>
              <w:pStyle w:val="Tableheading"/>
              <w:jc w:val="right"/>
            </w:pPr>
            <w:r w:rsidRPr="00B626AD">
              <w:t>201</w:t>
            </w:r>
            <w:r w:rsidR="005C50A7">
              <w:t>4</w:t>
            </w:r>
          </w:p>
        </w:tc>
      </w:tr>
      <w:tr w:rsidR="00704A73" w:rsidRPr="00704A73" w14:paraId="460D95E2" w14:textId="77777777" w:rsidTr="0061319F">
        <w:tc>
          <w:tcPr>
            <w:tcW w:w="6935" w:type="dxa"/>
            <w:tcBorders>
              <w:top w:val="single" w:sz="4" w:space="0" w:color="93B7BB"/>
            </w:tcBorders>
          </w:tcPr>
          <w:p w14:paraId="70468BA2" w14:textId="77777777" w:rsidR="00725EE9" w:rsidRPr="00704A73" w:rsidRDefault="00725EE9" w:rsidP="00B626AD">
            <w:pPr>
              <w:pStyle w:val="Tabletext"/>
              <w:rPr>
                <w:lang w:eastAsia="nl-NL"/>
              </w:rPr>
            </w:pPr>
            <w:r w:rsidRPr="00704A73">
              <w:rPr>
                <w:lang w:val="en-US" w:eastAsia="nl-NL"/>
              </w:rPr>
              <w:t>Current tax</w:t>
            </w:r>
          </w:p>
        </w:tc>
        <w:tc>
          <w:tcPr>
            <w:tcW w:w="936" w:type="dxa"/>
            <w:tcBorders>
              <w:top w:val="single" w:sz="4" w:space="0" w:color="93B7BB"/>
            </w:tcBorders>
            <w:shd w:val="clear" w:color="auto" w:fill="EFF4F5"/>
            <w:vAlign w:val="bottom"/>
          </w:tcPr>
          <w:p w14:paraId="5D67CB86" w14:textId="77777777" w:rsidR="00725EE9" w:rsidRPr="00B626AD" w:rsidRDefault="00725EE9" w:rsidP="00B626AD">
            <w:pPr>
              <w:pStyle w:val="Tabletext"/>
              <w:jc w:val="right"/>
              <w:rPr>
                <w:b/>
              </w:rPr>
            </w:pPr>
          </w:p>
        </w:tc>
        <w:tc>
          <w:tcPr>
            <w:tcW w:w="1201" w:type="dxa"/>
            <w:tcBorders>
              <w:top w:val="single" w:sz="4" w:space="0" w:color="93B7BB"/>
            </w:tcBorders>
            <w:vAlign w:val="bottom"/>
          </w:tcPr>
          <w:p w14:paraId="71F7AF50" w14:textId="77777777" w:rsidR="00725EE9" w:rsidRPr="00704A73" w:rsidRDefault="00725EE9" w:rsidP="00B626AD">
            <w:pPr>
              <w:pStyle w:val="Tabletext"/>
              <w:jc w:val="right"/>
            </w:pPr>
          </w:p>
        </w:tc>
      </w:tr>
      <w:tr w:rsidR="005C50A7" w:rsidRPr="00704A73" w14:paraId="48AA2B4B" w14:textId="77777777" w:rsidTr="0061319F">
        <w:tc>
          <w:tcPr>
            <w:tcW w:w="6935" w:type="dxa"/>
          </w:tcPr>
          <w:p w14:paraId="123BE8D4" w14:textId="05887F53" w:rsidR="005C50A7" w:rsidRPr="00704A73" w:rsidRDefault="005C50A7" w:rsidP="00500A32">
            <w:pPr>
              <w:pStyle w:val="Tabletextindented"/>
            </w:pPr>
            <w:r w:rsidRPr="00704A73">
              <w:t xml:space="preserve">UK Corporation tax arising in subsidiaries on </w:t>
            </w:r>
            <w:r w:rsidR="0080483E">
              <w:t>profit/(</w:t>
            </w:r>
            <w:r w:rsidRPr="00704A73">
              <w:t>loss</w:t>
            </w:r>
            <w:r w:rsidR="0080483E">
              <w:t>)</w:t>
            </w:r>
            <w:r w:rsidRPr="00704A73">
              <w:t xml:space="preserve"> for the year</w:t>
            </w:r>
          </w:p>
        </w:tc>
        <w:tc>
          <w:tcPr>
            <w:tcW w:w="936" w:type="dxa"/>
            <w:shd w:val="clear" w:color="auto" w:fill="EFF4F5"/>
            <w:vAlign w:val="bottom"/>
          </w:tcPr>
          <w:p w14:paraId="1F5FCBCF" w14:textId="608936AB" w:rsidR="005C50A7" w:rsidRPr="0080483E" w:rsidRDefault="0080483E" w:rsidP="00B626AD">
            <w:pPr>
              <w:pStyle w:val="Tabletext"/>
              <w:jc w:val="right"/>
              <w:rPr>
                <w:b/>
              </w:rPr>
            </w:pPr>
            <w:r w:rsidRPr="0080483E">
              <w:rPr>
                <w:b/>
              </w:rPr>
              <w:t>8.1</w:t>
            </w:r>
          </w:p>
        </w:tc>
        <w:tc>
          <w:tcPr>
            <w:tcW w:w="1201" w:type="dxa"/>
            <w:vAlign w:val="bottom"/>
          </w:tcPr>
          <w:p w14:paraId="391A7FEB" w14:textId="1F78DF58" w:rsidR="005C50A7" w:rsidRPr="005C50A7" w:rsidRDefault="005C50A7" w:rsidP="00B626AD">
            <w:pPr>
              <w:pStyle w:val="Tabletext"/>
              <w:jc w:val="right"/>
            </w:pPr>
            <w:r w:rsidRPr="005C50A7">
              <w:t>–</w:t>
            </w:r>
          </w:p>
        </w:tc>
      </w:tr>
      <w:tr w:rsidR="005C50A7" w:rsidRPr="00704A73" w14:paraId="0B468BE0" w14:textId="77777777" w:rsidTr="0080483E">
        <w:tc>
          <w:tcPr>
            <w:tcW w:w="6935" w:type="dxa"/>
            <w:tcBorders>
              <w:bottom w:val="single" w:sz="4" w:space="0" w:color="93B7BB"/>
            </w:tcBorders>
          </w:tcPr>
          <w:p w14:paraId="434BBCAE" w14:textId="77777777" w:rsidR="005C50A7" w:rsidRPr="00704A73" w:rsidRDefault="005C50A7" w:rsidP="00B626AD">
            <w:pPr>
              <w:pStyle w:val="Tabletextindented"/>
            </w:pPr>
            <w:r w:rsidRPr="00704A73">
              <w:t>Adjustments in respect of prior years</w:t>
            </w:r>
          </w:p>
        </w:tc>
        <w:tc>
          <w:tcPr>
            <w:tcW w:w="936" w:type="dxa"/>
            <w:tcBorders>
              <w:bottom w:val="single" w:sz="4" w:space="0" w:color="93B7BB"/>
            </w:tcBorders>
            <w:shd w:val="clear" w:color="auto" w:fill="EFF4F5"/>
            <w:vAlign w:val="bottom"/>
          </w:tcPr>
          <w:p w14:paraId="4B923048" w14:textId="38049CD0" w:rsidR="005C50A7" w:rsidRPr="0080483E" w:rsidRDefault="0080483E" w:rsidP="0080483E">
            <w:pPr>
              <w:pStyle w:val="Tabletext"/>
              <w:jc w:val="right"/>
              <w:rPr>
                <w:b/>
              </w:rPr>
            </w:pPr>
            <w:r>
              <w:rPr>
                <w:b/>
              </w:rPr>
              <w:t>(0.2)</w:t>
            </w:r>
          </w:p>
        </w:tc>
        <w:tc>
          <w:tcPr>
            <w:tcW w:w="1201" w:type="dxa"/>
            <w:tcBorders>
              <w:bottom w:val="single" w:sz="4" w:space="0" w:color="93B7BB"/>
            </w:tcBorders>
            <w:vAlign w:val="bottom"/>
          </w:tcPr>
          <w:p w14:paraId="42532887" w14:textId="23284264" w:rsidR="005C50A7" w:rsidRPr="005C50A7" w:rsidRDefault="005C50A7" w:rsidP="00B626AD">
            <w:pPr>
              <w:pStyle w:val="Tabletext"/>
              <w:jc w:val="right"/>
            </w:pPr>
            <w:r w:rsidRPr="005C50A7">
              <w:t>0.7</w:t>
            </w:r>
          </w:p>
        </w:tc>
      </w:tr>
      <w:tr w:rsidR="005C50A7" w:rsidRPr="00704A73" w14:paraId="1ABA5873" w14:textId="77777777" w:rsidTr="0080483E">
        <w:tc>
          <w:tcPr>
            <w:tcW w:w="6935" w:type="dxa"/>
            <w:tcBorders>
              <w:top w:val="single" w:sz="4" w:space="0" w:color="93B7BB"/>
              <w:bottom w:val="single" w:sz="4" w:space="0" w:color="93B7BB"/>
            </w:tcBorders>
          </w:tcPr>
          <w:p w14:paraId="2C70D922" w14:textId="77777777" w:rsidR="005C50A7" w:rsidRPr="00704A73" w:rsidRDefault="005C50A7" w:rsidP="00B626AD">
            <w:pPr>
              <w:pStyle w:val="Tabletextindented"/>
            </w:pPr>
            <w:r w:rsidRPr="00704A73">
              <w:t>Total current tax</w:t>
            </w:r>
          </w:p>
        </w:tc>
        <w:tc>
          <w:tcPr>
            <w:tcW w:w="936" w:type="dxa"/>
            <w:tcBorders>
              <w:top w:val="single" w:sz="4" w:space="0" w:color="93B7BB"/>
              <w:bottom w:val="single" w:sz="4" w:space="0" w:color="93B7BB"/>
            </w:tcBorders>
            <w:shd w:val="clear" w:color="auto" w:fill="EFF4F5"/>
            <w:vAlign w:val="bottom"/>
          </w:tcPr>
          <w:p w14:paraId="0046AF25" w14:textId="24009AC6" w:rsidR="005C50A7" w:rsidRPr="0080483E" w:rsidRDefault="0080483E" w:rsidP="00B626AD">
            <w:pPr>
              <w:pStyle w:val="Tabletext"/>
              <w:jc w:val="right"/>
              <w:rPr>
                <w:b/>
              </w:rPr>
            </w:pPr>
            <w:r>
              <w:rPr>
                <w:b/>
              </w:rPr>
              <w:t>7.9</w:t>
            </w:r>
          </w:p>
        </w:tc>
        <w:tc>
          <w:tcPr>
            <w:tcW w:w="1201" w:type="dxa"/>
            <w:tcBorders>
              <w:top w:val="single" w:sz="4" w:space="0" w:color="93B7BB"/>
              <w:bottom w:val="single" w:sz="4" w:space="0" w:color="93B7BB"/>
            </w:tcBorders>
            <w:vAlign w:val="bottom"/>
          </w:tcPr>
          <w:p w14:paraId="32B9BDFD" w14:textId="269D5B0E" w:rsidR="005C50A7" w:rsidRPr="005C50A7" w:rsidRDefault="005C50A7" w:rsidP="00B626AD">
            <w:pPr>
              <w:pStyle w:val="Tabletext"/>
              <w:jc w:val="right"/>
            </w:pPr>
            <w:r w:rsidRPr="005C50A7">
              <w:t>0.7</w:t>
            </w:r>
          </w:p>
        </w:tc>
      </w:tr>
      <w:tr w:rsidR="005C50A7" w:rsidRPr="00704A73" w14:paraId="47D0B8AD" w14:textId="77777777" w:rsidTr="0080483E">
        <w:tc>
          <w:tcPr>
            <w:tcW w:w="6935" w:type="dxa"/>
            <w:tcBorders>
              <w:top w:val="single" w:sz="4" w:space="0" w:color="93B7BB"/>
            </w:tcBorders>
          </w:tcPr>
          <w:p w14:paraId="09F23544" w14:textId="77777777" w:rsidR="005C50A7" w:rsidRPr="00704A73" w:rsidRDefault="005C50A7" w:rsidP="00B626AD">
            <w:pPr>
              <w:pStyle w:val="Tabletext"/>
              <w:rPr>
                <w:lang w:val="en-US" w:eastAsia="nl-NL"/>
              </w:rPr>
            </w:pPr>
          </w:p>
        </w:tc>
        <w:tc>
          <w:tcPr>
            <w:tcW w:w="936" w:type="dxa"/>
            <w:tcBorders>
              <w:top w:val="single" w:sz="4" w:space="0" w:color="93B7BB"/>
            </w:tcBorders>
            <w:shd w:val="clear" w:color="auto" w:fill="EFF4F5"/>
            <w:vAlign w:val="bottom"/>
          </w:tcPr>
          <w:p w14:paraId="2BF21C7D" w14:textId="77777777" w:rsidR="005C50A7" w:rsidRPr="0080483E" w:rsidRDefault="005C50A7" w:rsidP="00B626AD">
            <w:pPr>
              <w:pStyle w:val="Tabletext"/>
              <w:jc w:val="right"/>
              <w:rPr>
                <w:b/>
              </w:rPr>
            </w:pPr>
          </w:p>
        </w:tc>
        <w:tc>
          <w:tcPr>
            <w:tcW w:w="1201" w:type="dxa"/>
            <w:tcBorders>
              <w:top w:val="single" w:sz="4" w:space="0" w:color="93B7BB"/>
            </w:tcBorders>
            <w:vAlign w:val="bottom"/>
          </w:tcPr>
          <w:p w14:paraId="023BB664" w14:textId="77777777" w:rsidR="005C50A7" w:rsidRPr="005C50A7" w:rsidRDefault="005C50A7" w:rsidP="00B626AD">
            <w:pPr>
              <w:pStyle w:val="Tabletext"/>
              <w:jc w:val="right"/>
            </w:pPr>
          </w:p>
        </w:tc>
      </w:tr>
      <w:tr w:rsidR="005C50A7" w:rsidRPr="00704A73" w14:paraId="6146411F" w14:textId="77777777" w:rsidTr="0061319F">
        <w:tc>
          <w:tcPr>
            <w:tcW w:w="6935" w:type="dxa"/>
          </w:tcPr>
          <w:p w14:paraId="79DFE4DA" w14:textId="77777777" w:rsidR="005C50A7" w:rsidRPr="00704A73" w:rsidRDefault="005C50A7" w:rsidP="00B626AD">
            <w:pPr>
              <w:pStyle w:val="Tabletext"/>
              <w:rPr>
                <w:lang w:eastAsia="nl-NL"/>
              </w:rPr>
            </w:pPr>
            <w:r w:rsidRPr="00704A73">
              <w:rPr>
                <w:lang w:val="en-US" w:eastAsia="nl-NL"/>
              </w:rPr>
              <w:t>Deferred tax</w:t>
            </w:r>
          </w:p>
        </w:tc>
        <w:tc>
          <w:tcPr>
            <w:tcW w:w="936" w:type="dxa"/>
            <w:shd w:val="clear" w:color="auto" w:fill="EFF4F5"/>
            <w:vAlign w:val="bottom"/>
          </w:tcPr>
          <w:p w14:paraId="1D5B7E6D" w14:textId="77777777" w:rsidR="005C50A7" w:rsidRPr="0080483E" w:rsidRDefault="005C50A7" w:rsidP="00B626AD">
            <w:pPr>
              <w:pStyle w:val="Tabletext"/>
              <w:jc w:val="right"/>
              <w:rPr>
                <w:b/>
              </w:rPr>
            </w:pPr>
          </w:p>
        </w:tc>
        <w:tc>
          <w:tcPr>
            <w:tcW w:w="1201" w:type="dxa"/>
            <w:vAlign w:val="bottom"/>
          </w:tcPr>
          <w:p w14:paraId="5A0DDF8E" w14:textId="77777777" w:rsidR="005C50A7" w:rsidRPr="005C50A7" w:rsidRDefault="005C50A7" w:rsidP="00B626AD">
            <w:pPr>
              <w:pStyle w:val="Tabletext"/>
              <w:jc w:val="right"/>
            </w:pPr>
          </w:p>
        </w:tc>
      </w:tr>
      <w:tr w:rsidR="005C50A7" w:rsidRPr="00704A73" w14:paraId="19C4718C" w14:textId="77777777" w:rsidTr="0061319F">
        <w:tc>
          <w:tcPr>
            <w:tcW w:w="6935" w:type="dxa"/>
          </w:tcPr>
          <w:p w14:paraId="2E1FD315" w14:textId="77777777" w:rsidR="005C50A7" w:rsidRPr="00704A73" w:rsidRDefault="005C50A7" w:rsidP="00B626AD">
            <w:pPr>
              <w:pStyle w:val="Tabletextindented"/>
            </w:pPr>
            <w:r w:rsidRPr="00704A73">
              <w:t>Origination and reversal of other temporary differences</w:t>
            </w:r>
          </w:p>
        </w:tc>
        <w:tc>
          <w:tcPr>
            <w:tcW w:w="936" w:type="dxa"/>
            <w:shd w:val="clear" w:color="auto" w:fill="EFF4F5"/>
            <w:vAlign w:val="bottom"/>
          </w:tcPr>
          <w:p w14:paraId="15F1A20D" w14:textId="71D29F5F" w:rsidR="005C50A7" w:rsidRPr="0080483E" w:rsidRDefault="00A50EC3" w:rsidP="00B626AD">
            <w:pPr>
              <w:pStyle w:val="Tabletext"/>
              <w:jc w:val="right"/>
              <w:rPr>
                <w:b/>
              </w:rPr>
            </w:pPr>
            <w:r>
              <w:rPr>
                <w:b/>
              </w:rPr>
              <w:t>9.4</w:t>
            </w:r>
          </w:p>
        </w:tc>
        <w:tc>
          <w:tcPr>
            <w:tcW w:w="1201" w:type="dxa"/>
            <w:vAlign w:val="bottom"/>
          </w:tcPr>
          <w:p w14:paraId="71E282E5" w14:textId="5A39926D" w:rsidR="005C50A7" w:rsidRPr="005C50A7" w:rsidRDefault="005C50A7" w:rsidP="00B626AD">
            <w:pPr>
              <w:pStyle w:val="Tabletext"/>
              <w:jc w:val="right"/>
            </w:pPr>
            <w:r w:rsidRPr="005C50A7">
              <w:t>(11.9)</w:t>
            </w:r>
          </w:p>
        </w:tc>
      </w:tr>
      <w:tr w:rsidR="005C50A7" w:rsidRPr="00704A73" w14:paraId="6CD62141" w14:textId="77777777" w:rsidTr="0061319F">
        <w:tc>
          <w:tcPr>
            <w:tcW w:w="6935" w:type="dxa"/>
          </w:tcPr>
          <w:p w14:paraId="2044C022" w14:textId="77777777" w:rsidR="005C50A7" w:rsidRPr="00704A73" w:rsidRDefault="005C50A7" w:rsidP="00B626AD">
            <w:pPr>
              <w:pStyle w:val="Tabletextindented"/>
            </w:pPr>
            <w:r w:rsidRPr="00704A73">
              <w:t>Change in tax rates</w:t>
            </w:r>
          </w:p>
        </w:tc>
        <w:tc>
          <w:tcPr>
            <w:tcW w:w="936" w:type="dxa"/>
            <w:shd w:val="clear" w:color="auto" w:fill="EFF4F5"/>
            <w:vAlign w:val="bottom"/>
          </w:tcPr>
          <w:p w14:paraId="088B9BA4" w14:textId="79A6500A" w:rsidR="005C50A7" w:rsidRPr="0080483E" w:rsidRDefault="00A50EC3" w:rsidP="00B626AD">
            <w:pPr>
              <w:pStyle w:val="Tabletext"/>
              <w:jc w:val="right"/>
              <w:rPr>
                <w:b/>
              </w:rPr>
            </w:pPr>
            <w:r>
              <w:rPr>
                <w:b/>
              </w:rPr>
              <w:t>(5.8)</w:t>
            </w:r>
          </w:p>
        </w:tc>
        <w:tc>
          <w:tcPr>
            <w:tcW w:w="1201" w:type="dxa"/>
            <w:vAlign w:val="bottom"/>
          </w:tcPr>
          <w:p w14:paraId="6EDE9A66" w14:textId="1124FE8D" w:rsidR="005C50A7" w:rsidRPr="005C50A7" w:rsidRDefault="005C50A7" w:rsidP="00B626AD">
            <w:pPr>
              <w:pStyle w:val="Tabletext"/>
              <w:jc w:val="right"/>
            </w:pPr>
            <w:r w:rsidRPr="005C50A7">
              <w:t>–</w:t>
            </w:r>
          </w:p>
        </w:tc>
      </w:tr>
      <w:tr w:rsidR="005C50A7" w:rsidRPr="00704A73" w14:paraId="58979A60" w14:textId="77777777" w:rsidTr="0061319F">
        <w:tc>
          <w:tcPr>
            <w:tcW w:w="6935" w:type="dxa"/>
            <w:tcBorders>
              <w:bottom w:val="single" w:sz="4" w:space="0" w:color="93B7BB"/>
            </w:tcBorders>
          </w:tcPr>
          <w:p w14:paraId="6DC6B186" w14:textId="77777777" w:rsidR="005C50A7" w:rsidRPr="00704A73" w:rsidRDefault="005C50A7" w:rsidP="00B626AD">
            <w:pPr>
              <w:pStyle w:val="Tabletextindented"/>
            </w:pPr>
            <w:r w:rsidRPr="00704A73">
              <w:t>Adjustments in respect of prior years</w:t>
            </w:r>
          </w:p>
        </w:tc>
        <w:tc>
          <w:tcPr>
            <w:tcW w:w="936" w:type="dxa"/>
            <w:tcBorders>
              <w:bottom w:val="single" w:sz="4" w:space="0" w:color="93B7BB"/>
            </w:tcBorders>
            <w:shd w:val="clear" w:color="auto" w:fill="EFF4F5"/>
            <w:vAlign w:val="bottom"/>
          </w:tcPr>
          <w:p w14:paraId="7A9545B5" w14:textId="7C599201" w:rsidR="005C50A7" w:rsidRPr="0080483E" w:rsidRDefault="00A50EC3" w:rsidP="00B626AD">
            <w:pPr>
              <w:pStyle w:val="Tabletext"/>
              <w:jc w:val="right"/>
              <w:rPr>
                <w:b/>
              </w:rPr>
            </w:pPr>
            <w:r>
              <w:rPr>
                <w:b/>
              </w:rPr>
              <w:t>2.1</w:t>
            </w:r>
          </w:p>
        </w:tc>
        <w:tc>
          <w:tcPr>
            <w:tcW w:w="1201" w:type="dxa"/>
            <w:tcBorders>
              <w:bottom w:val="single" w:sz="4" w:space="0" w:color="93B7BB"/>
            </w:tcBorders>
            <w:vAlign w:val="bottom"/>
          </w:tcPr>
          <w:p w14:paraId="4BA01D79" w14:textId="439D9526" w:rsidR="005C50A7" w:rsidRPr="005C50A7" w:rsidRDefault="005C50A7" w:rsidP="00B626AD">
            <w:pPr>
              <w:pStyle w:val="Tabletext"/>
              <w:jc w:val="right"/>
            </w:pPr>
            <w:r w:rsidRPr="005C50A7">
              <w:t>(1.8)</w:t>
            </w:r>
          </w:p>
        </w:tc>
      </w:tr>
      <w:tr w:rsidR="005C50A7" w:rsidRPr="00704A73" w14:paraId="36C185FB" w14:textId="77777777" w:rsidTr="006A2E9B">
        <w:tc>
          <w:tcPr>
            <w:tcW w:w="6935" w:type="dxa"/>
            <w:tcBorders>
              <w:top w:val="single" w:sz="4" w:space="0" w:color="93B7BB"/>
              <w:bottom w:val="single" w:sz="4" w:space="0" w:color="93B7BB"/>
            </w:tcBorders>
          </w:tcPr>
          <w:p w14:paraId="08364FBF" w14:textId="77777777" w:rsidR="005C50A7" w:rsidRPr="00704A73" w:rsidRDefault="005C50A7" w:rsidP="00C00A3E">
            <w:pPr>
              <w:pStyle w:val="Tabletextindented"/>
            </w:pPr>
            <w:r w:rsidRPr="00704A73">
              <w:t>Total deferred tax</w:t>
            </w:r>
          </w:p>
        </w:tc>
        <w:tc>
          <w:tcPr>
            <w:tcW w:w="936" w:type="dxa"/>
            <w:tcBorders>
              <w:top w:val="single" w:sz="4" w:space="0" w:color="93B7BB"/>
              <w:bottom w:val="single" w:sz="4" w:space="0" w:color="93B7BB"/>
            </w:tcBorders>
            <w:shd w:val="clear" w:color="auto" w:fill="EFF4F5"/>
            <w:vAlign w:val="bottom"/>
          </w:tcPr>
          <w:p w14:paraId="269DF455" w14:textId="31563088" w:rsidR="005C50A7" w:rsidRPr="0080483E" w:rsidRDefault="00A50EC3" w:rsidP="00B626AD">
            <w:pPr>
              <w:pStyle w:val="Tabletext"/>
              <w:jc w:val="right"/>
              <w:rPr>
                <w:b/>
              </w:rPr>
            </w:pPr>
            <w:r>
              <w:rPr>
                <w:b/>
              </w:rPr>
              <w:t>5.7</w:t>
            </w:r>
          </w:p>
        </w:tc>
        <w:tc>
          <w:tcPr>
            <w:tcW w:w="1201" w:type="dxa"/>
            <w:tcBorders>
              <w:top w:val="single" w:sz="4" w:space="0" w:color="93B7BB"/>
              <w:bottom w:val="single" w:sz="4" w:space="0" w:color="93B7BB"/>
            </w:tcBorders>
            <w:vAlign w:val="bottom"/>
          </w:tcPr>
          <w:p w14:paraId="14B31F39" w14:textId="5A29B63E" w:rsidR="005C50A7" w:rsidRPr="005C50A7" w:rsidRDefault="005C50A7" w:rsidP="000879A0">
            <w:pPr>
              <w:pStyle w:val="Tabletext"/>
              <w:jc w:val="right"/>
            </w:pPr>
            <w:r w:rsidRPr="005C50A7">
              <w:t>(13.7)</w:t>
            </w:r>
          </w:p>
        </w:tc>
      </w:tr>
      <w:tr w:rsidR="005C50A7" w:rsidRPr="00704A73" w14:paraId="7CDE86AE" w14:textId="77777777" w:rsidTr="006A2E9B">
        <w:tc>
          <w:tcPr>
            <w:tcW w:w="6935" w:type="dxa"/>
            <w:tcBorders>
              <w:top w:val="single" w:sz="4" w:space="0" w:color="93B7BB"/>
              <w:bottom w:val="single" w:sz="4" w:space="0" w:color="93B7BB"/>
            </w:tcBorders>
          </w:tcPr>
          <w:p w14:paraId="393DB178" w14:textId="77777777" w:rsidR="005C50A7" w:rsidRPr="00704A73" w:rsidRDefault="005C50A7" w:rsidP="00C00A3E">
            <w:pPr>
              <w:pStyle w:val="Tabletextindented"/>
            </w:pPr>
          </w:p>
        </w:tc>
        <w:tc>
          <w:tcPr>
            <w:tcW w:w="936" w:type="dxa"/>
            <w:tcBorders>
              <w:top w:val="single" w:sz="4" w:space="0" w:color="93B7BB"/>
              <w:bottom w:val="single" w:sz="4" w:space="0" w:color="93B7BB"/>
            </w:tcBorders>
            <w:shd w:val="clear" w:color="auto" w:fill="EFF4F5"/>
            <w:vAlign w:val="bottom"/>
          </w:tcPr>
          <w:p w14:paraId="0ECE26C8" w14:textId="77777777" w:rsidR="005C50A7" w:rsidRPr="0080483E" w:rsidRDefault="005C50A7" w:rsidP="00B626AD">
            <w:pPr>
              <w:pStyle w:val="Tabletext"/>
              <w:jc w:val="right"/>
              <w:rPr>
                <w:b/>
              </w:rPr>
            </w:pPr>
          </w:p>
        </w:tc>
        <w:tc>
          <w:tcPr>
            <w:tcW w:w="1201" w:type="dxa"/>
            <w:tcBorders>
              <w:top w:val="single" w:sz="4" w:space="0" w:color="93B7BB"/>
              <w:bottom w:val="single" w:sz="4" w:space="0" w:color="93B7BB"/>
            </w:tcBorders>
            <w:vAlign w:val="bottom"/>
          </w:tcPr>
          <w:p w14:paraId="15B28680" w14:textId="77777777" w:rsidR="005C50A7" w:rsidRPr="005C50A7" w:rsidRDefault="005C50A7" w:rsidP="00B626AD">
            <w:pPr>
              <w:pStyle w:val="Tabletext"/>
              <w:jc w:val="right"/>
            </w:pPr>
          </w:p>
        </w:tc>
      </w:tr>
      <w:tr w:rsidR="005C50A7" w:rsidRPr="00704A73" w14:paraId="5F4FBAE6" w14:textId="77777777" w:rsidTr="0061319F">
        <w:tc>
          <w:tcPr>
            <w:tcW w:w="6935" w:type="dxa"/>
            <w:tcBorders>
              <w:top w:val="single" w:sz="4" w:space="0" w:color="93B7BB"/>
              <w:bottom w:val="single" w:sz="4" w:space="0" w:color="93B7BB"/>
            </w:tcBorders>
          </w:tcPr>
          <w:p w14:paraId="7E9BB559" w14:textId="22E876E1" w:rsidR="005C50A7" w:rsidRPr="00704A73" w:rsidRDefault="005C50A7" w:rsidP="00B626AD">
            <w:pPr>
              <w:pStyle w:val="Tabletextindented"/>
            </w:pPr>
            <w:r w:rsidRPr="00704A73">
              <w:t xml:space="preserve">Tax </w:t>
            </w:r>
            <w:r w:rsidR="00A50EC3">
              <w:t xml:space="preserve">expense/(credit) </w:t>
            </w:r>
            <w:r w:rsidRPr="00704A73">
              <w:t xml:space="preserve">on </w:t>
            </w:r>
            <w:r w:rsidR="00A50EC3">
              <w:t>profit/(</w:t>
            </w:r>
            <w:r w:rsidRPr="00704A73">
              <w:t>loss</w:t>
            </w:r>
            <w:r w:rsidR="00A50EC3">
              <w:t>)</w:t>
            </w:r>
          </w:p>
        </w:tc>
        <w:tc>
          <w:tcPr>
            <w:tcW w:w="936" w:type="dxa"/>
            <w:tcBorders>
              <w:top w:val="single" w:sz="4" w:space="0" w:color="93B7BB"/>
              <w:bottom w:val="single" w:sz="4" w:space="0" w:color="93B7BB"/>
            </w:tcBorders>
            <w:shd w:val="clear" w:color="auto" w:fill="EFF4F5"/>
            <w:vAlign w:val="bottom"/>
          </w:tcPr>
          <w:p w14:paraId="36890ACC" w14:textId="4B256696" w:rsidR="005C50A7" w:rsidRPr="0080483E" w:rsidRDefault="00A50EC3" w:rsidP="00B626AD">
            <w:pPr>
              <w:pStyle w:val="Tabletext"/>
              <w:jc w:val="right"/>
              <w:rPr>
                <w:b/>
              </w:rPr>
            </w:pPr>
            <w:r>
              <w:rPr>
                <w:b/>
              </w:rPr>
              <w:t>13.6</w:t>
            </w:r>
          </w:p>
        </w:tc>
        <w:tc>
          <w:tcPr>
            <w:tcW w:w="1201" w:type="dxa"/>
            <w:tcBorders>
              <w:top w:val="single" w:sz="4" w:space="0" w:color="93B7BB"/>
              <w:bottom w:val="single" w:sz="4" w:space="0" w:color="93B7BB"/>
            </w:tcBorders>
            <w:vAlign w:val="bottom"/>
          </w:tcPr>
          <w:p w14:paraId="42700A80" w14:textId="1AB8A5AD" w:rsidR="005C50A7" w:rsidRPr="005C50A7" w:rsidRDefault="005C50A7" w:rsidP="00B626AD">
            <w:pPr>
              <w:pStyle w:val="Tabletext"/>
              <w:jc w:val="right"/>
            </w:pPr>
            <w:r w:rsidRPr="005C50A7">
              <w:t>(13.0)</w:t>
            </w:r>
          </w:p>
        </w:tc>
      </w:tr>
    </w:tbl>
    <w:p w14:paraId="10C1E0B3" w14:textId="77777777" w:rsidR="00725EE9" w:rsidRDefault="00725EE9" w:rsidP="00B626AD">
      <w:pPr>
        <w:pStyle w:val="Footnote"/>
      </w:pPr>
    </w:p>
    <w:p w14:paraId="78D5F004" w14:textId="29DA3EE2" w:rsidR="00725EE9" w:rsidRPr="00704A73" w:rsidRDefault="00725EE9" w:rsidP="0075067F">
      <w:pPr>
        <w:jc w:val="both"/>
      </w:pPr>
      <w:r w:rsidRPr="00704A73">
        <w:t xml:space="preserve">Corporation tax is calculated at </w:t>
      </w:r>
      <w:r w:rsidR="00A50EC3">
        <w:t>20.25</w:t>
      </w:r>
      <w:r w:rsidRPr="00704A73">
        <w:t>% (201</w:t>
      </w:r>
      <w:r w:rsidR="00725E28">
        <w:t>4</w:t>
      </w:r>
      <w:r w:rsidRPr="00704A73">
        <w:t>: 2</w:t>
      </w:r>
      <w:r w:rsidR="00725E28">
        <w:t>1</w:t>
      </w:r>
      <w:r w:rsidRPr="00704A73">
        <w:t>.5%) of the estimated taxable profit or loss for the year.</w:t>
      </w:r>
    </w:p>
    <w:p w14:paraId="446991E4" w14:textId="0277E00D" w:rsidR="00512B31" w:rsidRDefault="00512B31" w:rsidP="00512B31">
      <w:pPr>
        <w:pStyle w:val="Heading3"/>
        <w:jc w:val="both"/>
      </w:pPr>
      <w:r>
        <w:t>1</w:t>
      </w:r>
      <w:r w:rsidR="00F97892">
        <w:t>1</w:t>
      </w:r>
      <w:r>
        <w:t>. Dividend</w:t>
      </w:r>
    </w:p>
    <w:tbl>
      <w:tblPr>
        <w:tblW w:w="9072" w:type="dxa"/>
        <w:tblLayout w:type="fixed"/>
        <w:tblCellMar>
          <w:left w:w="0" w:type="dxa"/>
          <w:right w:w="57" w:type="dxa"/>
        </w:tblCellMar>
        <w:tblLook w:val="0000" w:firstRow="0" w:lastRow="0" w:firstColumn="0" w:lastColumn="0" w:noHBand="0" w:noVBand="0"/>
      </w:tblPr>
      <w:tblGrid>
        <w:gridCol w:w="6446"/>
        <w:gridCol w:w="1313"/>
        <w:gridCol w:w="1313"/>
      </w:tblGrid>
      <w:tr w:rsidR="00512B31" w:rsidRPr="00B626AD" w14:paraId="262036A4" w14:textId="77777777" w:rsidTr="00A03D02">
        <w:tc>
          <w:tcPr>
            <w:tcW w:w="6446" w:type="dxa"/>
            <w:tcBorders>
              <w:bottom w:val="single" w:sz="4" w:space="0" w:color="93B7BB"/>
            </w:tcBorders>
            <w:vAlign w:val="bottom"/>
          </w:tcPr>
          <w:p w14:paraId="49A23386" w14:textId="77777777" w:rsidR="00512B31" w:rsidRPr="00B626AD" w:rsidRDefault="00512B31" w:rsidP="00A3500D">
            <w:pPr>
              <w:pStyle w:val="Tableheading"/>
            </w:pPr>
            <w:r w:rsidRPr="00B626AD">
              <w:t>(£ million)</w:t>
            </w:r>
          </w:p>
        </w:tc>
        <w:tc>
          <w:tcPr>
            <w:tcW w:w="1313" w:type="dxa"/>
            <w:tcBorders>
              <w:bottom w:val="single" w:sz="4" w:space="0" w:color="93B7BB"/>
            </w:tcBorders>
            <w:vAlign w:val="bottom"/>
          </w:tcPr>
          <w:p w14:paraId="6E9F78D0" w14:textId="77777777" w:rsidR="00512B31" w:rsidRPr="00B626AD" w:rsidRDefault="00512B31" w:rsidP="00A3500D">
            <w:pPr>
              <w:pStyle w:val="Tableheading"/>
              <w:jc w:val="right"/>
              <w:rPr>
                <w:b/>
              </w:rPr>
            </w:pPr>
            <w:r w:rsidRPr="00B626AD">
              <w:rPr>
                <w:b/>
              </w:rPr>
              <w:t>201</w:t>
            </w:r>
            <w:r>
              <w:rPr>
                <w:b/>
              </w:rPr>
              <w:t>5</w:t>
            </w:r>
          </w:p>
        </w:tc>
        <w:tc>
          <w:tcPr>
            <w:tcW w:w="1313" w:type="dxa"/>
            <w:tcBorders>
              <w:bottom w:val="single" w:sz="4" w:space="0" w:color="93B7BB"/>
            </w:tcBorders>
            <w:vAlign w:val="bottom"/>
          </w:tcPr>
          <w:p w14:paraId="76EABB4B" w14:textId="77777777" w:rsidR="00512B31" w:rsidRPr="00B626AD" w:rsidRDefault="00512B31" w:rsidP="00A3500D">
            <w:pPr>
              <w:pStyle w:val="Tableheading"/>
              <w:jc w:val="right"/>
            </w:pPr>
            <w:r w:rsidRPr="00B626AD">
              <w:t>201</w:t>
            </w:r>
            <w:r>
              <w:t>4</w:t>
            </w:r>
          </w:p>
        </w:tc>
      </w:tr>
      <w:tr w:rsidR="00512B31" w:rsidRPr="00704A73" w14:paraId="4B1997F8" w14:textId="77777777" w:rsidTr="00A03D02">
        <w:tc>
          <w:tcPr>
            <w:tcW w:w="6446" w:type="dxa"/>
            <w:tcBorders>
              <w:top w:val="single" w:sz="4" w:space="0" w:color="93B7BB"/>
            </w:tcBorders>
          </w:tcPr>
          <w:p w14:paraId="3CDCF7F0" w14:textId="43D0E1B4" w:rsidR="00512B31" w:rsidRPr="00704A73" w:rsidRDefault="007E0055" w:rsidP="007E0055">
            <w:pPr>
              <w:pStyle w:val="Tabletext"/>
            </w:pPr>
            <w:r>
              <w:t>Amounts recognised as distributions to equity holders in the year:</w:t>
            </w:r>
          </w:p>
        </w:tc>
        <w:tc>
          <w:tcPr>
            <w:tcW w:w="1313" w:type="dxa"/>
            <w:tcBorders>
              <w:top w:val="single" w:sz="4" w:space="0" w:color="93B7BB"/>
            </w:tcBorders>
            <w:shd w:val="clear" w:color="auto" w:fill="EFF4F5"/>
            <w:vAlign w:val="bottom"/>
          </w:tcPr>
          <w:p w14:paraId="04207B2C" w14:textId="77777777" w:rsidR="00512B31" w:rsidRPr="005D66D5" w:rsidRDefault="00512B31" w:rsidP="00A3500D">
            <w:pPr>
              <w:pStyle w:val="Tabletext"/>
              <w:jc w:val="right"/>
              <w:rPr>
                <w:b/>
              </w:rPr>
            </w:pPr>
          </w:p>
        </w:tc>
        <w:tc>
          <w:tcPr>
            <w:tcW w:w="1313" w:type="dxa"/>
            <w:tcBorders>
              <w:top w:val="single" w:sz="4" w:space="0" w:color="93B7BB"/>
            </w:tcBorders>
            <w:vAlign w:val="bottom"/>
          </w:tcPr>
          <w:p w14:paraId="6D21F750" w14:textId="0E3D7E19" w:rsidR="00512B31" w:rsidRPr="00704A73" w:rsidRDefault="00512B31" w:rsidP="00A3500D">
            <w:pPr>
              <w:pStyle w:val="Tabletext"/>
              <w:jc w:val="right"/>
            </w:pPr>
          </w:p>
        </w:tc>
      </w:tr>
      <w:tr w:rsidR="00512B31" w:rsidRPr="00704A73" w14:paraId="2B2C8241" w14:textId="77777777" w:rsidTr="00A03D02">
        <w:tc>
          <w:tcPr>
            <w:tcW w:w="6446" w:type="dxa"/>
          </w:tcPr>
          <w:p w14:paraId="2FE7F21E" w14:textId="3DCCEC94" w:rsidR="00512B31" w:rsidRPr="00704A73" w:rsidRDefault="00A03D02" w:rsidP="00A03D02">
            <w:pPr>
              <w:pStyle w:val="Tabletext"/>
            </w:pPr>
            <w:r>
              <w:t>- final dividend for the year ended 31 December 2014 of 1.8 pence per share</w:t>
            </w:r>
            <w:r w:rsidR="00C0708A">
              <w:t xml:space="preserve"> (2014: £nil)</w:t>
            </w:r>
          </w:p>
        </w:tc>
        <w:tc>
          <w:tcPr>
            <w:tcW w:w="1313" w:type="dxa"/>
            <w:shd w:val="clear" w:color="auto" w:fill="EFF4F5"/>
            <w:vAlign w:val="bottom"/>
          </w:tcPr>
          <w:p w14:paraId="70402763" w14:textId="5285EA4D" w:rsidR="00512B31" w:rsidRPr="005D66D5" w:rsidRDefault="00A03D02" w:rsidP="00A3500D">
            <w:pPr>
              <w:pStyle w:val="Tabletext"/>
              <w:jc w:val="right"/>
              <w:rPr>
                <w:b/>
              </w:rPr>
            </w:pPr>
            <w:r w:rsidRPr="005D66D5">
              <w:rPr>
                <w:b/>
              </w:rPr>
              <w:t>7.2</w:t>
            </w:r>
          </w:p>
        </w:tc>
        <w:tc>
          <w:tcPr>
            <w:tcW w:w="1313" w:type="dxa"/>
            <w:vAlign w:val="bottom"/>
          </w:tcPr>
          <w:p w14:paraId="6833ED89" w14:textId="0B1DB88C" w:rsidR="00512B31" w:rsidRPr="00704A73" w:rsidRDefault="00A03D02" w:rsidP="00A3500D">
            <w:pPr>
              <w:pStyle w:val="Tabletext"/>
              <w:jc w:val="right"/>
            </w:pPr>
            <w:r w:rsidRPr="005C50A7">
              <w:t>–</w:t>
            </w:r>
          </w:p>
        </w:tc>
      </w:tr>
      <w:tr w:rsidR="00512B31" w:rsidRPr="00704A73" w14:paraId="2A8EFBB2" w14:textId="77777777" w:rsidTr="00A3500D">
        <w:tc>
          <w:tcPr>
            <w:tcW w:w="6446" w:type="dxa"/>
            <w:tcBorders>
              <w:bottom w:val="single" w:sz="4" w:space="0" w:color="93B7BB"/>
            </w:tcBorders>
          </w:tcPr>
          <w:p w14:paraId="658DB727" w14:textId="4E99ED85" w:rsidR="00512B31" w:rsidRPr="00704A73" w:rsidRDefault="006B2E3E" w:rsidP="006B2E3E">
            <w:pPr>
              <w:pStyle w:val="Tabletext"/>
            </w:pPr>
            <w:r>
              <w:t xml:space="preserve">- interim dividend for the year ended 31 December 2015 of 1.3 pence per share (2014: </w:t>
            </w:r>
            <w:r w:rsidR="00A3500D">
              <w:t>£</w:t>
            </w:r>
            <w:r>
              <w:t>nil)</w:t>
            </w:r>
          </w:p>
        </w:tc>
        <w:tc>
          <w:tcPr>
            <w:tcW w:w="1313" w:type="dxa"/>
            <w:tcBorders>
              <w:bottom w:val="single" w:sz="4" w:space="0" w:color="93B7BB"/>
            </w:tcBorders>
            <w:shd w:val="clear" w:color="auto" w:fill="EFF4F5"/>
            <w:vAlign w:val="bottom"/>
          </w:tcPr>
          <w:p w14:paraId="08B82E36" w14:textId="43817AA8" w:rsidR="00512B31" w:rsidRPr="005D66D5" w:rsidRDefault="006B2E3E" w:rsidP="00A3500D">
            <w:pPr>
              <w:pStyle w:val="Tabletext"/>
              <w:jc w:val="right"/>
              <w:rPr>
                <w:b/>
              </w:rPr>
            </w:pPr>
            <w:r w:rsidRPr="005D66D5">
              <w:rPr>
                <w:b/>
              </w:rPr>
              <w:t>5.2</w:t>
            </w:r>
          </w:p>
        </w:tc>
        <w:tc>
          <w:tcPr>
            <w:tcW w:w="1313" w:type="dxa"/>
            <w:tcBorders>
              <w:bottom w:val="single" w:sz="4" w:space="0" w:color="93B7BB"/>
            </w:tcBorders>
            <w:vAlign w:val="bottom"/>
          </w:tcPr>
          <w:p w14:paraId="1CD17555" w14:textId="77777777" w:rsidR="00512B31" w:rsidRPr="00704A73" w:rsidRDefault="00512B31" w:rsidP="00A3500D">
            <w:pPr>
              <w:pStyle w:val="Tabletext"/>
              <w:jc w:val="right"/>
            </w:pPr>
            <w:r w:rsidRPr="005C50A7">
              <w:t>–</w:t>
            </w:r>
          </w:p>
        </w:tc>
      </w:tr>
      <w:tr w:rsidR="00512B31" w:rsidRPr="00704A73" w14:paraId="55B70FE9" w14:textId="77777777" w:rsidTr="00A3500D">
        <w:tc>
          <w:tcPr>
            <w:tcW w:w="6446" w:type="dxa"/>
            <w:tcBorders>
              <w:top w:val="single" w:sz="4" w:space="0" w:color="93B7BB"/>
              <w:bottom w:val="single" w:sz="4" w:space="0" w:color="93B7BB"/>
            </w:tcBorders>
          </w:tcPr>
          <w:p w14:paraId="4A5AAFE2" w14:textId="3C3D2547" w:rsidR="00512B31" w:rsidRPr="00704A73" w:rsidRDefault="005D66D5" w:rsidP="005D66D5">
            <w:pPr>
              <w:pStyle w:val="Tabletext"/>
            </w:pPr>
            <w:r>
              <w:t>Total</w:t>
            </w:r>
          </w:p>
        </w:tc>
        <w:tc>
          <w:tcPr>
            <w:tcW w:w="1313" w:type="dxa"/>
            <w:tcBorders>
              <w:top w:val="single" w:sz="4" w:space="0" w:color="93B7BB"/>
              <w:bottom w:val="single" w:sz="4" w:space="0" w:color="93B7BB"/>
            </w:tcBorders>
            <w:shd w:val="clear" w:color="auto" w:fill="EFF4F5"/>
            <w:vAlign w:val="bottom"/>
          </w:tcPr>
          <w:p w14:paraId="141A513D" w14:textId="594B496F" w:rsidR="00512B31" w:rsidRPr="005D66D5" w:rsidRDefault="006B2E3E" w:rsidP="00A3500D">
            <w:pPr>
              <w:pStyle w:val="Tabletext"/>
              <w:jc w:val="right"/>
              <w:rPr>
                <w:b/>
              </w:rPr>
            </w:pPr>
            <w:r w:rsidRPr="005D66D5">
              <w:rPr>
                <w:b/>
              </w:rPr>
              <w:t>12.4</w:t>
            </w:r>
          </w:p>
        </w:tc>
        <w:tc>
          <w:tcPr>
            <w:tcW w:w="1313" w:type="dxa"/>
            <w:tcBorders>
              <w:top w:val="single" w:sz="4" w:space="0" w:color="93B7BB"/>
              <w:bottom w:val="single" w:sz="4" w:space="0" w:color="93B7BB"/>
            </w:tcBorders>
            <w:vAlign w:val="bottom"/>
          </w:tcPr>
          <w:p w14:paraId="50AB465C" w14:textId="7E9E385A" w:rsidR="00512B31" w:rsidRPr="00704A73" w:rsidRDefault="005D66D5" w:rsidP="00A3500D">
            <w:pPr>
              <w:pStyle w:val="Tabletext"/>
              <w:jc w:val="right"/>
            </w:pPr>
            <w:r w:rsidRPr="005C50A7">
              <w:t>–</w:t>
            </w:r>
          </w:p>
        </w:tc>
      </w:tr>
    </w:tbl>
    <w:p w14:paraId="4C56830E" w14:textId="77777777" w:rsidR="00512B31" w:rsidRDefault="00512B31" w:rsidP="00512B31">
      <w:pPr>
        <w:pStyle w:val="Footnote"/>
      </w:pPr>
    </w:p>
    <w:p w14:paraId="3E23D99B" w14:textId="72729492" w:rsidR="00512B31" w:rsidRPr="00512B31" w:rsidRDefault="00B145DC" w:rsidP="00B145DC">
      <w:pPr>
        <w:jc w:val="both"/>
      </w:pPr>
      <w:r w:rsidRPr="009E2BFB">
        <w:t xml:space="preserve">A </w:t>
      </w:r>
      <w:r w:rsidR="004D0E78" w:rsidRPr="009E2BFB">
        <w:t xml:space="preserve">final </w:t>
      </w:r>
      <w:r w:rsidRPr="009E2BFB">
        <w:t xml:space="preserve">dividend of </w:t>
      </w:r>
      <w:r w:rsidR="00A50EC3" w:rsidRPr="009E2BFB">
        <w:t>2.4</w:t>
      </w:r>
      <w:r w:rsidRPr="009E2BFB">
        <w:t xml:space="preserve"> pence per share, amounting to a total </w:t>
      </w:r>
      <w:r w:rsidR="00BC0611" w:rsidRPr="009E2BFB">
        <w:t>f</w:t>
      </w:r>
      <w:r w:rsidRPr="009E2BFB">
        <w:t>in</w:t>
      </w:r>
      <w:r w:rsidR="00BC0611" w:rsidRPr="009E2BFB">
        <w:t>al</w:t>
      </w:r>
      <w:r w:rsidRPr="009E2BFB">
        <w:t xml:space="preserve"> dividend of approximately £</w:t>
      </w:r>
      <w:r w:rsidR="00A50EC3" w:rsidRPr="009E2BFB">
        <w:t>9.4</w:t>
      </w:r>
      <w:r w:rsidR="00BC0611" w:rsidRPr="009E2BFB">
        <w:t xml:space="preserve"> </w:t>
      </w:r>
      <w:r w:rsidRPr="009E2BFB">
        <w:t xml:space="preserve">million, </w:t>
      </w:r>
      <w:r w:rsidR="00F066EF" w:rsidRPr="009E2BFB">
        <w:t>i</w:t>
      </w:r>
      <w:r w:rsidRPr="009E2BFB">
        <w:t xml:space="preserve">s </w:t>
      </w:r>
      <w:r w:rsidR="00F066EF" w:rsidRPr="009E2BFB">
        <w:t>to be</w:t>
      </w:r>
      <w:r w:rsidR="00F066EF">
        <w:t xml:space="preserve"> </w:t>
      </w:r>
      <w:r w:rsidRPr="00ED09A6">
        <w:t xml:space="preserve">proposed </w:t>
      </w:r>
      <w:r w:rsidR="00F066EF">
        <w:t xml:space="preserve">at the </w:t>
      </w:r>
      <w:r w:rsidR="00176A25">
        <w:t xml:space="preserve">Company’s </w:t>
      </w:r>
      <w:r w:rsidR="00F066EF">
        <w:t xml:space="preserve">annual general meeting on </w:t>
      </w:r>
      <w:r w:rsidR="00317860" w:rsidRPr="00317860">
        <w:t>19</w:t>
      </w:r>
      <w:r w:rsidR="00317860">
        <w:t xml:space="preserve"> May</w:t>
      </w:r>
      <w:r w:rsidR="00317860" w:rsidRPr="00ED09A6">
        <w:t xml:space="preserve"> </w:t>
      </w:r>
      <w:r w:rsidRPr="00ED09A6">
        <w:t>201</w:t>
      </w:r>
      <w:r w:rsidR="00BC0611">
        <w:t>6</w:t>
      </w:r>
      <w:r w:rsidRPr="00ED09A6">
        <w:t xml:space="preserve">. </w:t>
      </w:r>
      <w:r w:rsidRPr="00261A7F">
        <w:t>In accordance w</w:t>
      </w:r>
      <w:r>
        <w:t>ith IAS 10 ‘Events after the balance sheet date’, dividend</w:t>
      </w:r>
      <w:r w:rsidR="00CA3240">
        <w:t xml:space="preserve"> </w:t>
      </w:r>
      <w:r>
        <w:t xml:space="preserve">declared after the balance sheet date </w:t>
      </w:r>
      <w:r w:rsidR="00AC011A">
        <w:t xml:space="preserve">is </w:t>
      </w:r>
      <w:r>
        <w:t>not recognised as a liability in th</w:t>
      </w:r>
      <w:r w:rsidR="00F066EF">
        <w:t>e</w:t>
      </w:r>
      <w:r>
        <w:t>s</w:t>
      </w:r>
      <w:r w:rsidR="00F066EF">
        <w:t>e</w:t>
      </w:r>
      <w:r>
        <w:t xml:space="preserve"> financial </w:t>
      </w:r>
      <w:r w:rsidR="00F066EF">
        <w:t>statements</w:t>
      </w:r>
      <w:r>
        <w:t>.</w:t>
      </w:r>
    </w:p>
    <w:p w14:paraId="66F365B2" w14:textId="327FF1A4" w:rsidR="00004F63" w:rsidRPr="00704A73" w:rsidRDefault="00364452" w:rsidP="0075067F">
      <w:pPr>
        <w:pStyle w:val="Heading3"/>
        <w:jc w:val="both"/>
      </w:pPr>
      <w:r>
        <w:t>1</w:t>
      </w:r>
      <w:r w:rsidR="00F97892">
        <w:t>2</w:t>
      </w:r>
      <w:r>
        <w:t xml:space="preserve">. </w:t>
      </w:r>
      <w:r w:rsidR="00004F63" w:rsidRPr="00704A73">
        <w:t>Earnings per share</w:t>
      </w:r>
    </w:p>
    <w:p w14:paraId="22915B05" w14:textId="425F5A9F" w:rsidR="00004F63" w:rsidRPr="00704A73" w:rsidRDefault="000A01CB" w:rsidP="0075067F">
      <w:pPr>
        <w:keepNext/>
        <w:keepLines/>
        <w:jc w:val="both"/>
      </w:pPr>
      <w:proofErr w:type="gramStart"/>
      <w:r w:rsidRPr="00A55949">
        <w:t>Basic</w:t>
      </w:r>
      <w:r>
        <w:t xml:space="preserve"> </w:t>
      </w:r>
      <w:r w:rsidRPr="00A55949">
        <w:t>earnings</w:t>
      </w:r>
      <w:r>
        <w:t xml:space="preserve"> </w:t>
      </w:r>
      <w:r w:rsidRPr="00A55949">
        <w:t>per</w:t>
      </w:r>
      <w:r>
        <w:t xml:space="preserve"> </w:t>
      </w:r>
      <w:r w:rsidRPr="00A55949">
        <w:t>share</w:t>
      </w:r>
      <w:r>
        <w:t xml:space="preserve"> </w:t>
      </w:r>
      <w:r w:rsidRPr="00A55949">
        <w:t>is</w:t>
      </w:r>
      <w:proofErr w:type="gramEnd"/>
      <w:r>
        <w:t xml:space="preserve"> </w:t>
      </w:r>
      <w:r w:rsidRPr="00A55949">
        <w:t>calculated</w:t>
      </w:r>
      <w:r>
        <w:t xml:space="preserve"> </w:t>
      </w:r>
      <w:r w:rsidRPr="00A55949">
        <w:t>by</w:t>
      </w:r>
      <w:r>
        <w:t xml:space="preserve"> </w:t>
      </w:r>
      <w:r w:rsidRPr="00A55949">
        <w:t>dividing</w:t>
      </w:r>
      <w:r>
        <w:t xml:space="preserve"> </w:t>
      </w:r>
      <w:r w:rsidRPr="00A55949">
        <w:t>the</w:t>
      </w:r>
      <w:r>
        <w:t xml:space="preserve"> </w:t>
      </w:r>
      <w:r w:rsidRPr="00A55949">
        <w:t>profit</w:t>
      </w:r>
      <w:r>
        <w:t xml:space="preserve"> </w:t>
      </w:r>
      <w:r w:rsidRPr="00A55949">
        <w:t>attributable</w:t>
      </w:r>
      <w:r>
        <w:t xml:space="preserve"> </w:t>
      </w:r>
      <w:r w:rsidRPr="00A55949">
        <w:t>to</w:t>
      </w:r>
      <w:r>
        <w:t xml:space="preserve"> </w:t>
      </w:r>
      <w:r w:rsidRPr="00A55949">
        <w:t>equity</w:t>
      </w:r>
      <w:r>
        <w:t xml:space="preserve"> </w:t>
      </w:r>
      <w:r w:rsidRPr="00A55949">
        <w:t>holders</w:t>
      </w:r>
      <w:r>
        <w:t xml:space="preserve"> </w:t>
      </w:r>
      <w:r w:rsidRPr="00A55949">
        <w:t>of</w:t>
      </w:r>
      <w:r>
        <w:t xml:space="preserve"> </w:t>
      </w:r>
      <w:r w:rsidRPr="00A55949">
        <w:t>the</w:t>
      </w:r>
      <w:r>
        <w:t xml:space="preserve"> </w:t>
      </w:r>
      <w:r w:rsidRPr="00A55949">
        <w:t>Company</w:t>
      </w:r>
      <w:r>
        <w:t xml:space="preserve"> </w:t>
      </w:r>
      <w:r w:rsidRPr="00A55949">
        <w:t>by</w:t>
      </w:r>
      <w:r>
        <w:t xml:space="preserve"> </w:t>
      </w:r>
      <w:r w:rsidRPr="00A55949">
        <w:t>the</w:t>
      </w:r>
      <w:r>
        <w:t xml:space="preserve"> </w:t>
      </w:r>
      <w:r w:rsidRPr="00A55949">
        <w:t>weighted</w:t>
      </w:r>
      <w:r>
        <w:t xml:space="preserve"> </w:t>
      </w:r>
      <w:r w:rsidRPr="00A55949">
        <w:t>average</w:t>
      </w:r>
      <w:r>
        <w:t xml:space="preserve"> </w:t>
      </w:r>
      <w:r w:rsidRPr="00A55949">
        <w:t>number</w:t>
      </w:r>
      <w:r>
        <w:t xml:space="preserve"> </w:t>
      </w:r>
      <w:r w:rsidRPr="00A55949">
        <w:t>of</w:t>
      </w:r>
      <w:r>
        <w:t xml:space="preserve"> </w:t>
      </w:r>
      <w:r w:rsidRPr="00A55949">
        <w:t>ordinary</w:t>
      </w:r>
      <w:r>
        <w:t xml:space="preserve"> </w:t>
      </w:r>
      <w:r w:rsidRPr="00A55949">
        <w:t>shares</w:t>
      </w:r>
      <w:r>
        <w:t xml:space="preserve"> outstanding during the year. For year ended 31 December 2014, the calculation is based on the 401,081,391 shares that were in issue on Admission on 23 July 2014. For shares prior to the Admission date, as a proxy, the calculation is based on the 250,000,000 shares that were issued to Cinven, the former ultimate parent undertaking of the Group, and current and former management on Admission on 23 July 2014 in exchange for the liabilities to the former ultimate shareholders and management</w:t>
      </w:r>
      <w:r w:rsidR="00004F63" w:rsidRPr="00704A73">
        <w:t>.</w:t>
      </w:r>
    </w:p>
    <w:tbl>
      <w:tblPr>
        <w:tblW w:w="9072" w:type="dxa"/>
        <w:tblLayout w:type="fixed"/>
        <w:tblCellMar>
          <w:left w:w="0" w:type="dxa"/>
          <w:right w:w="57" w:type="dxa"/>
        </w:tblCellMar>
        <w:tblLook w:val="0000" w:firstRow="0" w:lastRow="0" w:firstColumn="0" w:lastColumn="0" w:noHBand="0" w:noVBand="0"/>
      </w:tblPr>
      <w:tblGrid>
        <w:gridCol w:w="6446"/>
        <w:gridCol w:w="1313"/>
        <w:gridCol w:w="1313"/>
      </w:tblGrid>
      <w:tr w:rsidR="00B626AD" w:rsidRPr="00B626AD" w14:paraId="0A94F516" w14:textId="77777777" w:rsidTr="0075067F">
        <w:tc>
          <w:tcPr>
            <w:tcW w:w="6446" w:type="dxa"/>
            <w:tcBorders>
              <w:bottom w:val="single" w:sz="4" w:space="0" w:color="93B7BB"/>
            </w:tcBorders>
            <w:vAlign w:val="bottom"/>
          </w:tcPr>
          <w:p w14:paraId="4C726E55" w14:textId="77777777" w:rsidR="00B626AD" w:rsidRPr="00B626AD" w:rsidRDefault="00B626AD" w:rsidP="00B626AD">
            <w:pPr>
              <w:pStyle w:val="Tableheading"/>
            </w:pPr>
            <w:r w:rsidRPr="00B626AD">
              <w:t>(£ million)</w:t>
            </w:r>
          </w:p>
        </w:tc>
        <w:tc>
          <w:tcPr>
            <w:tcW w:w="1313" w:type="dxa"/>
            <w:tcBorders>
              <w:bottom w:val="single" w:sz="4" w:space="0" w:color="93B7BB"/>
            </w:tcBorders>
            <w:vAlign w:val="bottom"/>
          </w:tcPr>
          <w:p w14:paraId="5CFF993B" w14:textId="77783090" w:rsidR="00B626AD" w:rsidRPr="00B626AD" w:rsidRDefault="00B626AD" w:rsidP="0075067F">
            <w:pPr>
              <w:pStyle w:val="Tableheading"/>
              <w:jc w:val="right"/>
              <w:rPr>
                <w:b/>
              </w:rPr>
            </w:pPr>
            <w:r w:rsidRPr="00B626AD">
              <w:rPr>
                <w:b/>
              </w:rPr>
              <w:t>201</w:t>
            </w:r>
            <w:r w:rsidR="0075067F">
              <w:rPr>
                <w:b/>
              </w:rPr>
              <w:t>5</w:t>
            </w:r>
          </w:p>
        </w:tc>
        <w:tc>
          <w:tcPr>
            <w:tcW w:w="1313" w:type="dxa"/>
            <w:tcBorders>
              <w:bottom w:val="single" w:sz="4" w:space="0" w:color="93B7BB"/>
            </w:tcBorders>
            <w:vAlign w:val="bottom"/>
          </w:tcPr>
          <w:p w14:paraId="54A64AEB" w14:textId="30820643" w:rsidR="00B626AD" w:rsidRPr="00B626AD" w:rsidRDefault="00B626AD" w:rsidP="0075067F">
            <w:pPr>
              <w:pStyle w:val="Tableheading"/>
              <w:jc w:val="right"/>
            </w:pPr>
            <w:r w:rsidRPr="00B626AD">
              <w:t>201</w:t>
            </w:r>
            <w:r w:rsidR="0075067F">
              <w:t>4</w:t>
            </w:r>
          </w:p>
        </w:tc>
      </w:tr>
      <w:tr w:rsidR="0075067F" w:rsidRPr="00704A73" w14:paraId="693EA002" w14:textId="77777777" w:rsidTr="0075067F">
        <w:tc>
          <w:tcPr>
            <w:tcW w:w="6446" w:type="dxa"/>
            <w:tcBorders>
              <w:top w:val="single" w:sz="4" w:space="0" w:color="93B7BB"/>
              <w:bottom w:val="single" w:sz="4" w:space="0" w:color="93B7BB"/>
            </w:tcBorders>
          </w:tcPr>
          <w:p w14:paraId="0F8B0D0F" w14:textId="6A1A911A" w:rsidR="0075067F" w:rsidRPr="00704A73" w:rsidRDefault="0075067F" w:rsidP="00B626AD">
            <w:pPr>
              <w:pStyle w:val="Tabletext"/>
            </w:pPr>
            <w:r w:rsidRPr="00704A73">
              <w:t xml:space="preserve">Profit for the year attributable to owners of the </w:t>
            </w:r>
            <w:r>
              <w:t>P</w:t>
            </w:r>
            <w:r w:rsidRPr="00704A73">
              <w:t>arent</w:t>
            </w:r>
            <w:r w:rsidRPr="00704A73">
              <w:rPr>
                <w:lang w:val="en-US" w:eastAsia="nl-NL"/>
              </w:rPr>
              <w:t xml:space="preserve"> </w:t>
            </w:r>
            <w:r w:rsidR="000A01CB">
              <w:rPr>
                <w:lang w:val="en-US" w:eastAsia="nl-NL"/>
              </w:rPr>
              <w:t>(£ million)</w:t>
            </w:r>
          </w:p>
        </w:tc>
        <w:tc>
          <w:tcPr>
            <w:tcW w:w="1313" w:type="dxa"/>
            <w:tcBorders>
              <w:top w:val="single" w:sz="4" w:space="0" w:color="93B7BB"/>
              <w:bottom w:val="single" w:sz="4" w:space="0" w:color="93B7BB"/>
            </w:tcBorders>
            <w:shd w:val="clear" w:color="auto" w:fill="EFF4F5"/>
            <w:vAlign w:val="bottom"/>
          </w:tcPr>
          <w:p w14:paraId="6480B789" w14:textId="08D0133F" w:rsidR="0075067F" w:rsidRPr="00704A73" w:rsidRDefault="00A50EC3" w:rsidP="00B626AD">
            <w:pPr>
              <w:pStyle w:val="Tabletext"/>
              <w:jc w:val="right"/>
            </w:pPr>
            <w:r>
              <w:t>60.0</w:t>
            </w:r>
          </w:p>
        </w:tc>
        <w:tc>
          <w:tcPr>
            <w:tcW w:w="1313" w:type="dxa"/>
            <w:tcBorders>
              <w:top w:val="single" w:sz="4" w:space="0" w:color="93B7BB"/>
              <w:bottom w:val="single" w:sz="4" w:space="0" w:color="93B7BB"/>
            </w:tcBorders>
            <w:vAlign w:val="bottom"/>
          </w:tcPr>
          <w:p w14:paraId="390E00BA" w14:textId="6BF89311" w:rsidR="0075067F" w:rsidRPr="00704A73" w:rsidRDefault="0075067F" w:rsidP="00B626AD">
            <w:pPr>
              <w:pStyle w:val="Tabletext"/>
              <w:jc w:val="right"/>
            </w:pPr>
            <w:r w:rsidRPr="00704A73">
              <w:t>6.0</w:t>
            </w:r>
          </w:p>
        </w:tc>
      </w:tr>
      <w:tr w:rsidR="0075067F" w:rsidRPr="00704A73" w14:paraId="3BC5BA55" w14:textId="77777777" w:rsidTr="00C73B91">
        <w:tc>
          <w:tcPr>
            <w:tcW w:w="6446" w:type="dxa"/>
            <w:tcBorders>
              <w:top w:val="single" w:sz="4" w:space="0" w:color="93B7BB"/>
            </w:tcBorders>
          </w:tcPr>
          <w:p w14:paraId="228D4EA9" w14:textId="225D8580" w:rsidR="0075067F" w:rsidRPr="00704A73" w:rsidRDefault="0075067F" w:rsidP="00C73B91">
            <w:pPr>
              <w:pStyle w:val="Tabletext"/>
            </w:pPr>
            <w:r w:rsidRPr="00704A73">
              <w:t>Weighted average n</w:t>
            </w:r>
            <w:r w:rsidR="00C73B91">
              <w:t>umber of ordinary shares</w:t>
            </w:r>
          </w:p>
        </w:tc>
        <w:tc>
          <w:tcPr>
            <w:tcW w:w="1313" w:type="dxa"/>
            <w:tcBorders>
              <w:top w:val="single" w:sz="4" w:space="0" w:color="93B7BB"/>
            </w:tcBorders>
            <w:shd w:val="clear" w:color="auto" w:fill="EFF4F5"/>
            <w:vAlign w:val="bottom"/>
          </w:tcPr>
          <w:p w14:paraId="220F6C62" w14:textId="73762E59" w:rsidR="0075067F" w:rsidRPr="00704A73" w:rsidRDefault="00A50EC3" w:rsidP="00B626AD">
            <w:pPr>
              <w:pStyle w:val="Tabletext"/>
              <w:jc w:val="right"/>
            </w:pPr>
            <w:r>
              <w:t>401,081,391</w:t>
            </w:r>
          </w:p>
        </w:tc>
        <w:tc>
          <w:tcPr>
            <w:tcW w:w="1313" w:type="dxa"/>
            <w:tcBorders>
              <w:top w:val="single" w:sz="4" w:space="0" w:color="93B7BB"/>
            </w:tcBorders>
            <w:vAlign w:val="bottom"/>
          </w:tcPr>
          <w:p w14:paraId="44BDADEA" w14:textId="35A348EA" w:rsidR="0075067F" w:rsidRPr="00704A73" w:rsidRDefault="0075067F" w:rsidP="00B626AD">
            <w:pPr>
              <w:pStyle w:val="Tabletext"/>
              <w:jc w:val="right"/>
            </w:pPr>
            <w:r w:rsidRPr="00704A73">
              <w:t>317,055,302</w:t>
            </w:r>
          </w:p>
        </w:tc>
      </w:tr>
      <w:tr w:rsidR="00C73B91" w:rsidRPr="00704A73" w14:paraId="65290464" w14:textId="77777777" w:rsidTr="00C73B91">
        <w:tc>
          <w:tcPr>
            <w:tcW w:w="6446" w:type="dxa"/>
            <w:tcBorders>
              <w:bottom w:val="single" w:sz="4" w:space="0" w:color="93B7BB"/>
            </w:tcBorders>
          </w:tcPr>
          <w:p w14:paraId="67A8E4F1" w14:textId="6D85A986" w:rsidR="00C73B91" w:rsidRPr="00704A73" w:rsidRDefault="00C73B91" w:rsidP="000A01CB">
            <w:pPr>
              <w:pStyle w:val="Tabletext"/>
            </w:pPr>
            <w:r>
              <w:t xml:space="preserve">Adjustment for weighted </w:t>
            </w:r>
            <w:r w:rsidRPr="00704A73">
              <w:t>average n</w:t>
            </w:r>
            <w:r>
              <w:t xml:space="preserve">umber of </w:t>
            </w:r>
            <w:r w:rsidR="000A01CB">
              <w:t>treasury shares</w:t>
            </w:r>
          </w:p>
        </w:tc>
        <w:tc>
          <w:tcPr>
            <w:tcW w:w="1313" w:type="dxa"/>
            <w:tcBorders>
              <w:bottom w:val="single" w:sz="4" w:space="0" w:color="93B7BB"/>
            </w:tcBorders>
            <w:shd w:val="clear" w:color="auto" w:fill="EFF4F5"/>
            <w:vAlign w:val="bottom"/>
          </w:tcPr>
          <w:p w14:paraId="5563D4FB" w14:textId="15EBF8E2" w:rsidR="00C73B91" w:rsidRPr="00704A73" w:rsidRDefault="00A50EC3" w:rsidP="00B626AD">
            <w:pPr>
              <w:pStyle w:val="Tabletext"/>
              <w:jc w:val="right"/>
            </w:pPr>
            <w:r>
              <w:t>(1,195,844)</w:t>
            </w:r>
          </w:p>
        </w:tc>
        <w:tc>
          <w:tcPr>
            <w:tcW w:w="1313" w:type="dxa"/>
            <w:tcBorders>
              <w:bottom w:val="single" w:sz="4" w:space="0" w:color="93B7BB"/>
            </w:tcBorders>
            <w:vAlign w:val="bottom"/>
          </w:tcPr>
          <w:p w14:paraId="71EE7C72" w14:textId="690D3FB6" w:rsidR="00C73B91" w:rsidRPr="00704A73" w:rsidRDefault="00C73B91" w:rsidP="00B626AD">
            <w:pPr>
              <w:pStyle w:val="Tabletext"/>
              <w:jc w:val="right"/>
            </w:pPr>
            <w:r w:rsidRPr="005C50A7">
              <w:t>–</w:t>
            </w:r>
          </w:p>
        </w:tc>
      </w:tr>
      <w:tr w:rsidR="00C73B91" w:rsidRPr="00704A73" w14:paraId="726FE0D4" w14:textId="77777777" w:rsidTr="0075067F">
        <w:tc>
          <w:tcPr>
            <w:tcW w:w="6446" w:type="dxa"/>
            <w:tcBorders>
              <w:top w:val="single" w:sz="4" w:space="0" w:color="93B7BB"/>
              <w:bottom w:val="single" w:sz="4" w:space="0" w:color="93B7BB"/>
            </w:tcBorders>
          </w:tcPr>
          <w:p w14:paraId="007388FD" w14:textId="6D9E2F4B" w:rsidR="00C73B91" w:rsidRPr="00704A73" w:rsidRDefault="00C73B91" w:rsidP="00C0708A">
            <w:pPr>
              <w:pStyle w:val="Tabletext"/>
            </w:pPr>
            <w:r w:rsidRPr="00704A73">
              <w:t>Weighted average number of ordinary shares in issue</w:t>
            </w:r>
            <w:r>
              <w:t xml:space="preserve"> (</w:t>
            </w:r>
            <w:r w:rsidR="00C0708A">
              <w:t>N</w:t>
            </w:r>
            <w:r>
              <w:t>o.)</w:t>
            </w:r>
          </w:p>
        </w:tc>
        <w:tc>
          <w:tcPr>
            <w:tcW w:w="1313" w:type="dxa"/>
            <w:tcBorders>
              <w:top w:val="single" w:sz="4" w:space="0" w:color="93B7BB"/>
              <w:bottom w:val="single" w:sz="4" w:space="0" w:color="93B7BB"/>
            </w:tcBorders>
            <w:shd w:val="clear" w:color="auto" w:fill="EFF4F5"/>
            <w:vAlign w:val="bottom"/>
          </w:tcPr>
          <w:p w14:paraId="6B5B0648" w14:textId="18B7A828" w:rsidR="00C73B91" w:rsidRPr="00704A73" w:rsidRDefault="00A50EC3" w:rsidP="00B626AD">
            <w:pPr>
              <w:pStyle w:val="Tabletext"/>
              <w:jc w:val="right"/>
            </w:pPr>
            <w:r>
              <w:t>399,885,547</w:t>
            </w:r>
          </w:p>
        </w:tc>
        <w:tc>
          <w:tcPr>
            <w:tcW w:w="1313" w:type="dxa"/>
            <w:tcBorders>
              <w:top w:val="single" w:sz="4" w:space="0" w:color="93B7BB"/>
              <w:bottom w:val="single" w:sz="4" w:space="0" w:color="93B7BB"/>
            </w:tcBorders>
            <w:vAlign w:val="bottom"/>
          </w:tcPr>
          <w:p w14:paraId="1E0CF717" w14:textId="5F4B64D2" w:rsidR="00C73B91" w:rsidRPr="00704A73" w:rsidRDefault="00C73B91" w:rsidP="00B626AD">
            <w:pPr>
              <w:pStyle w:val="Tabletext"/>
              <w:jc w:val="right"/>
            </w:pPr>
            <w:r w:rsidRPr="00704A73">
              <w:t>317,055,302</w:t>
            </w:r>
          </w:p>
        </w:tc>
      </w:tr>
      <w:tr w:rsidR="0075067F" w:rsidRPr="00704A73" w14:paraId="746AAA11" w14:textId="77777777" w:rsidTr="0075067F">
        <w:tc>
          <w:tcPr>
            <w:tcW w:w="6446" w:type="dxa"/>
            <w:tcBorders>
              <w:top w:val="single" w:sz="4" w:space="0" w:color="93B7BB"/>
              <w:bottom w:val="single" w:sz="4" w:space="0" w:color="93B7BB"/>
            </w:tcBorders>
          </w:tcPr>
          <w:p w14:paraId="2B8A1DEE" w14:textId="77777777" w:rsidR="0075067F" w:rsidRPr="00704A73" w:rsidRDefault="0075067F" w:rsidP="00B626AD">
            <w:pPr>
              <w:pStyle w:val="Tabletext"/>
              <w:rPr>
                <w:lang w:val="en-US" w:eastAsia="nl-NL"/>
              </w:rPr>
            </w:pPr>
            <w:r w:rsidRPr="00704A73">
              <w:rPr>
                <w:b/>
              </w:rPr>
              <w:t>Basic earnings per share (in pence per share)</w:t>
            </w:r>
          </w:p>
        </w:tc>
        <w:tc>
          <w:tcPr>
            <w:tcW w:w="1313" w:type="dxa"/>
            <w:tcBorders>
              <w:top w:val="single" w:sz="4" w:space="0" w:color="93B7BB"/>
              <w:bottom w:val="single" w:sz="4" w:space="0" w:color="93B7BB"/>
            </w:tcBorders>
            <w:shd w:val="clear" w:color="auto" w:fill="EFF4F5"/>
            <w:vAlign w:val="bottom"/>
          </w:tcPr>
          <w:p w14:paraId="6CAAFF23" w14:textId="58BAC6E5" w:rsidR="0075067F" w:rsidRPr="00704A73" w:rsidRDefault="00A50EC3" w:rsidP="00B626AD">
            <w:pPr>
              <w:pStyle w:val="Tabletext"/>
              <w:jc w:val="right"/>
              <w:rPr>
                <w:b/>
              </w:rPr>
            </w:pPr>
            <w:r>
              <w:rPr>
                <w:b/>
              </w:rPr>
              <w:t>15.0</w:t>
            </w:r>
          </w:p>
        </w:tc>
        <w:tc>
          <w:tcPr>
            <w:tcW w:w="1313" w:type="dxa"/>
            <w:tcBorders>
              <w:top w:val="single" w:sz="4" w:space="0" w:color="93B7BB"/>
              <w:bottom w:val="single" w:sz="4" w:space="0" w:color="93B7BB"/>
            </w:tcBorders>
            <w:vAlign w:val="bottom"/>
          </w:tcPr>
          <w:p w14:paraId="770ACD16" w14:textId="79EEFD87" w:rsidR="0075067F" w:rsidRPr="00704A73" w:rsidRDefault="0075067F" w:rsidP="00B626AD">
            <w:pPr>
              <w:pStyle w:val="Tabletext"/>
              <w:jc w:val="right"/>
              <w:rPr>
                <w:b/>
              </w:rPr>
            </w:pPr>
            <w:r w:rsidRPr="00704A73">
              <w:rPr>
                <w:b/>
              </w:rPr>
              <w:t>1.9</w:t>
            </w:r>
          </w:p>
        </w:tc>
      </w:tr>
    </w:tbl>
    <w:p w14:paraId="3B0B4FBA" w14:textId="77777777" w:rsidR="00004F63" w:rsidRPr="00704A73" w:rsidRDefault="00004F63" w:rsidP="00B626AD">
      <w:pPr>
        <w:pStyle w:val="Footnote"/>
      </w:pPr>
    </w:p>
    <w:p w14:paraId="2ABF3778" w14:textId="77777777" w:rsidR="00510698" w:rsidRDefault="00510698">
      <w:pPr>
        <w:spacing w:after="160" w:line="259" w:lineRule="auto"/>
      </w:pPr>
      <w:r>
        <w:br w:type="page"/>
      </w:r>
    </w:p>
    <w:p w14:paraId="205FD59E" w14:textId="668B01AB" w:rsidR="00510698" w:rsidRPr="00704A73" w:rsidRDefault="00510698" w:rsidP="00510698">
      <w:pPr>
        <w:pStyle w:val="Heading3"/>
        <w:jc w:val="both"/>
      </w:pPr>
      <w:r>
        <w:lastRenderedPageBreak/>
        <w:t xml:space="preserve">12. </w:t>
      </w:r>
      <w:r w:rsidRPr="00704A73">
        <w:t>Earnings per share</w:t>
      </w:r>
      <w:r>
        <w:t xml:space="preserve"> (CONTINUED)</w:t>
      </w:r>
    </w:p>
    <w:p w14:paraId="3BFE6EA8" w14:textId="1D0A2F24" w:rsidR="00004F63" w:rsidRPr="00704A73" w:rsidRDefault="00004F63" w:rsidP="0075067F">
      <w:pPr>
        <w:jc w:val="both"/>
      </w:pPr>
      <w:r w:rsidRPr="00704A73">
        <w:t>For dilutive earnings per share, the weighted average number of ordinary shares in issue is adjusted to include all dilutive potential ordinary shares arising from share options.</w:t>
      </w:r>
    </w:p>
    <w:tbl>
      <w:tblPr>
        <w:tblW w:w="9072" w:type="dxa"/>
        <w:tblLayout w:type="fixed"/>
        <w:tblCellMar>
          <w:left w:w="0" w:type="dxa"/>
          <w:right w:w="57" w:type="dxa"/>
        </w:tblCellMar>
        <w:tblLook w:val="0000" w:firstRow="0" w:lastRow="0" w:firstColumn="0" w:lastColumn="0" w:noHBand="0" w:noVBand="0"/>
      </w:tblPr>
      <w:tblGrid>
        <w:gridCol w:w="6446"/>
        <w:gridCol w:w="1313"/>
        <w:gridCol w:w="1313"/>
      </w:tblGrid>
      <w:tr w:rsidR="00B626AD" w:rsidRPr="00704A73" w14:paraId="59224C7D" w14:textId="77777777" w:rsidTr="0075067F">
        <w:tc>
          <w:tcPr>
            <w:tcW w:w="6446" w:type="dxa"/>
            <w:tcBorders>
              <w:bottom w:val="single" w:sz="4" w:space="0" w:color="93B7BB"/>
            </w:tcBorders>
            <w:vAlign w:val="bottom"/>
          </w:tcPr>
          <w:p w14:paraId="2AE805F0" w14:textId="77777777" w:rsidR="00B626AD" w:rsidRPr="00B626AD" w:rsidRDefault="00B626AD" w:rsidP="00B626AD">
            <w:pPr>
              <w:pStyle w:val="Tableheading"/>
            </w:pPr>
            <w:r w:rsidRPr="00B626AD">
              <w:t>(£ million)</w:t>
            </w:r>
          </w:p>
        </w:tc>
        <w:tc>
          <w:tcPr>
            <w:tcW w:w="1313" w:type="dxa"/>
            <w:tcBorders>
              <w:bottom w:val="single" w:sz="4" w:space="0" w:color="93B7BB"/>
            </w:tcBorders>
            <w:vAlign w:val="bottom"/>
          </w:tcPr>
          <w:p w14:paraId="2238990A" w14:textId="72AC7FBB" w:rsidR="00B626AD" w:rsidRPr="00B626AD" w:rsidRDefault="00B626AD" w:rsidP="0075067F">
            <w:pPr>
              <w:pStyle w:val="Tableheading"/>
              <w:jc w:val="right"/>
              <w:rPr>
                <w:b/>
              </w:rPr>
            </w:pPr>
            <w:r w:rsidRPr="00B626AD">
              <w:rPr>
                <w:b/>
              </w:rPr>
              <w:t>201</w:t>
            </w:r>
            <w:r w:rsidR="0075067F">
              <w:rPr>
                <w:b/>
              </w:rPr>
              <w:t>5</w:t>
            </w:r>
          </w:p>
        </w:tc>
        <w:tc>
          <w:tcPr>
            <w:tcW w:w="1313" w:type="dxa"/>
            <w:tcBorders>
              <w:bottom w:val="single" w:sz="4" w:space="0" w:color="93B7BB"/>
            </w:tcBorders>
            <w:vAlign w:val="bottom"/>
          </w:tcPr>
          <w:p w14:paraId="7053C7BB" w14:textId="0736F842" w:rsidR="00B626AD" w:rsidRPr="00B626AD" w:rsidRDefault="00B626AD" w:rsidP="0075067F">
            <w:pPr>
              <w:pStyle w:val="Tableheading"/>
              <w:jc w:val="right"/>
            </w:pPr>
            <w:r w:rsidRPr="00B626AD">
              <w:t>201</w:t>
            </w:r>
            <w:r w:rsidR="0075067F">
              <w:t>4</w:t>
            </w:r>
          </w:p>
        </w:tc>
      </w:tr>
      <w:tr w:rsidR="0075067F" w:rsidRPr="00704A73" w14:paraId="1A35C89A" w14:textId="77777777" w:rsidTr="0075067F">
        <w:tc>
          <w:tcPr>
            <w:tcW w:w="6446" w:type="dxa"/>
            <w:tcBorders>
              <w:top w:val="single" w:sz="4" w:space="0" w:color="93B7BB"/>
              <w:bottom w:val="single" w:sz="4" w:space="0" w:color="93B7BB"/>
            </w:tcBorders>
          </w:tcPr>
          <w:p w14:paraId="13DD457C" w14:textId="1F791A12" w:rsidR="0075067F" w:rsidRPr="00B626AD" w:rsidRDefault="0075067F" w:rsidP="00B626AD">
            <w:pPr>
              <w:pStyle w:val="Tabletext"/>
            </w:pPr>
            <w:r w:rsidRPr="00B626AD">
              <w:t xml:space="preserve">Profit for the year attributable to owners of the </w:t>
            </w:r>
            <w:r>
              <w:t>P</w:t>
            </w:r>
            <w:r w:rsidRPr="00B626AD">
              <w:t xml:space="preserve">arent </w:t>
            </w:r>
            <w:r w:rsidR="000A01CB">
              <w:rPr>
                <w:lang w:val="en-US" w:eastAsia="nl-NL"/>
              </w:rPr>
              <w:t>(£ million)</w:t>
            </w:r>
          </w:p>
        </w:tc>
        <w:tc>
          <w:tcPr>
            <w:tcW w:w="1313" w:type="dxa"/>
            <w:tcBorders>
              <w:top w:val="single" w:sz="4" w:space="0" w:color="93B7BB"/>
              <w:bottom w:val="single" w:sz="4" w:space="0" w:color="93B7BB"/>
            </w:tcBorders>
            <w:shd w:val="clear" w:color="auto" w:fill="EFF4F5"/>
            <w:vAlign w:val="bottom"/>
          </w:tcPr>
          <w:p w14:paraId="2ABF5301" w14:textId="317F15DB" w:rsidR="0075067F" w:rsidRPr="00B626AD" w:rsidRDefault="00A50EC3" w:rsidP="00B626AD">
            <w:pPr>
              <w:pStyle w:val="Tabletext"/>
              <w:jc w:val="right"/>
            </w:pPr>
            <w:r>
              <w:t>60.0</w:t>
            </w:r>
          </w:p>
        </w:tc>
        <w:tc>
          <w:tcPr>
            <w:tcW w:w="1313" w:type="dxa"/>
            <w:tcBorders>
              <w:top w:val="single" w:sz="4" w:space="0" w:color="93B7BB"/>
              <w:bottom w:val="single" w:sz="4" w:space="0" w:color="93B7BB"/>
            </w:tcBorders>
            <w:vAlign w:val="bottom"/>
          </w:tcPr>
          <w:p w14:paraId="08E0269B" w14:textId="5AFA6C9B" w:rsidR="0075067F" w:rsidRPr="00B626AD" w:rsidRDefault="0075067F" w:rsidP="00B626AD">
            <w:pPr>
              <w:pStyle w:val="Tabletext"/>
              <w:jc w:val="right"/>
            </w:pPr>
            <w:r w:rsidRPr="00B626AD">
              <w:t>6.0</w:t>
            </w:r>
          </w:p>
        </w:tc>
      </w:tr>
      <w:tr w:rsidR="0075067F" w:rsidRPr="00704A73" w14:paraId="47D058E5" w14:textId="77777777" w:rsidTr="0075067F">
        <w:tc>
          <w:tcPr>
            <w:tcW w:w="6446" w:type="dxa"/>
            <w:tcBorders>
              <w:top w:val="single" w:sz="4" w:space="0" w:color="93B7BB"/>
            </w:tcBorders>
          </w:tcPr>
          <w:p w14:paraId="1C5D6994" w14:textId="77777777" w:rsidR="0075067F" w:rsidRPr="00B626AD" w:rsidRDefault="0075067F" w:rsidP="00B626AD">
            <w:pPr>
              <w:pStyle w:val="Tabletext"/>
            </w:pPr>
            <w:r w:rsidRPr="00B626AD">
              <w:t>Weighted average number of ordinary shares in issue</w:t>
            </w:r>
          </w:p>
        </w:tc>
        <w:tc>
          <w:tcPr>
            <w:tcW w:w="1313" w:type="dxa"/>
            <w:tcBorders>
              <w:top w:val="single" w:sz="4" w:space="0" w:color="93B7BB"/>
            </w:tcBorders>
            <w:shd w:val="clear" w:color="auto" w:fill="EFF4F5"/>
            <w:vAlign w:val="bottom"/>
          </w:tcPr>
          <w:p w14:paraId="46A81DFE" w14:textId="449137A3" w:rsidR="0075067F" w:rsidRPr="00B626AD" w:rsidRDefault="00A50EC3" w:rsidP="00B626AD">
            <w:pPr>
              <w:pStyle w:val="Tabletext"/>
              <w:jc w:val="right"/>
            </w:pPr>
            <w:r>
              <w:t>399,885,547</w:t>
            </w:r>
          </w:p>
        </w:tc>
        <w:tc>
          <w:tcPr>
            <w:tcW w:w="1313" w:type="dxa"/>
            <w:tcBorders>
              <w:top w:val="single" w:sz="4" w:space="0" w:color="93B7BB"/>
            </w:tcBorders>
            <w:vAlign w:val="bottom"/>
          </w:tcPr>
          <w:p w14:paraId="3A938133" w14:textId="3655756B" w:rsidR="0075067F" w:rsidRPr="00B626AD" w:rsidRDefault="0075067F" w:rsidP="00B626AD">
            <w:pPr>
              <w:pStyle w:val="Tabletext"/>
              <w:jc w:val="right"/>
            </w:pPr>
            <w:r w:rsidRPr="00B626AD">
              <w:t>317,055,302</w:t>
            </w:r>
          </w:p>
        </w:tc>
      </w:tr>
      <w:tr w:rsidR="0075067F" w:rsidRPr="00704A73" w14:paraId="2635F544" w14:textId="77777777" w:rsidTr="0075067F">
        <w:tc>
          <w:tcPr>
            <w:tcW w:w="6446" w:type="dxa"/>
            <w:tcBorders>
              <w:bottom w:val="single" w:sz="4" w:space="0" w:color="93B7BB"/>
            </w:tcBorders>
          </w:tcPr>
          <w:p w14:paraId="1EEF1B17" w14:textId="77777777" w:rsidR="0075067F" w:rsidRPr="00B626AD" w:rsidRDefault="0075067F" w:rsidP="00B626AD">
            <w:pPr>
              <w:pStyle w:val="Tabletext"/>
            </w:pPr>
            <w:r w:rsidRPr="00B626AD">
              <w:t>Adjustment for weighted average number of contingently issuable shares</w:t>
            </w:r>
          </w:p>
        </w:tc>
        <w:tc>
          <w:tcPr>
            <w:tcW w:w="1313" w:type="dxa"/>
            <w:tcBorders>
              <w:bottom w:val="single" w:sz="4" w:space="0" w:color="93B7BB"/>
            </w:tcBorders>
            <w:shd w:val="clear" w:color="auto" w:fill="EFF4F5"/>
            <w:vAlign w:val="bottom"/>
          </w:tcPr>
          <w:p w14:paraId="55EF0949" w14:textId="16EDABCD" w:rsidR="0075067F" w:rsidRPr="00B626AD" w:rsidRDefault="00A50EC3" w:rsidP="00B626AD">
            <w:pPr>
              <w:pStyle w:val="Tabletext"/>
              <w:jc w:val="right"/>
            </w:pPr>
            <w:r>
              <w:t>2,052,534</w:t>
            </w:r>
          </w:p>
        </w:tc>
        <w:tc>
          <w:tcPr>
            <w:tcW w:w="1313" w:type="dxa"/>
            <w:tcBorders>
              <w:bottom w:val="single" w:sz="4" w:space="0" w:color="93B7BB"/>
            </w:tcBorders>
            <w:vAlign w:val="bottom"/>
          </w:tcPr>
          <w:p w14:paraId="4E441DBF" w14:textId="475EC94D" w:rsidR="0075067F" w:rsidRPr="00B626AD" w:rsidRDefault="0075067F" w:rsidP="00B626AD">
            <w:pPr>
              <w:pStyle w:val="Tabletext"/>
              <w:jc w:val="right"/>
            </w:pPr>
            <w:r w:rsidRPr="00B626AD">
              <w:t>875,653</w:t>
            </w:r>
          </w:p>
        </w:tc>
      </w:tr>
      <w:tr w:rsidR="0075067F" w:rsidRPr="00704A73" w14:paraId="66DFEB49" w14:textId="77777777" w:rsidTr="0075067F">
        <w:tc>
          <w:tcPr>
            <w:tcW w:w="6446" w:type="dxa"/>
            <w:tcBorders>
              <w:top w:val="single" w:sz="4" w:space="0" w:color="93B7BB"/>
              <w:bottom w:val="single" w:sz="4" w:space="0" w:color="93B7BB"/>
            </w:tcBorders>
          </w:tcPr>
          <w:p w14:paraId="7F0EF31D" w14:textId="4547E043" w:rsidR="0075067F" w:rsidRPr="00B626AD" w:rsidRDefault="00C73B91" w:rsidP="00B626AD">
            <w:pPr>
              <w:pStyle w:val="Tabletext"/>
            </w:pPr>
            <w:r>
              <w:t xml:space="preserve">Diluted weighted </w:t>
            </w:r>
            <w:r w:rsidRPr="00704A73">
              <w:t>average number of ordinary shares in issue</w:t>
            </w:r>
            <w:r w:rsidR="00C0708A">
              <w:t xml:space="preserve"> (N</w:t>
            </w:r>
            <w:r>
              <w:t>o.)</w:t>
            </w:r>
          </w:p>
        </w:tc>
        <w:tc>
          <w:tcPr>
            <w:tcW w:w="1313" w:type="dxa"/>
            <w:tcBorders>
              <w:top w:val="single" w:sz="4" w:space="0" w:color="93B7BB"/>
              <w:bottom w:val="single" w:sz="4" w:space="0" w:color="93B7BB"/>
            </w:tcBorders>
            <w:shd w:val="clear" w:color="auto" w:fill="EFF4F5"/>
            <w:vAlign w:val="bottom"/>
          </w:tcPr>
          <w:p w14:paraId="7B918F53" w14:textId="071FDDB3" w:rsidR="0075067F" w:rsidRPr="00B626AD" w:rsidRDefault="000A01CB" w:rsidP="00B626AD">
            <w:pPr>
              <w:pStyle w:val="Tabletext"/>
              <w:jc w:val="right"/>
            </w:pPr>
            <w:r>
              <w:t>401,938,081</w:t>
            </w:r>
          </w:p>
        </w:tc>
        <w:tc>
          <w:tcPr>
            <w:tcW w:w="1313" w:type="dxa"/>
            <w:tcBorders>
              <w:top w:val="single" w:sz="4" w:space="0" w:color="93B7BB"/>
              <w:bottom w:val="single" w:sz="4" w:space="0" w:color="93B7BB"/>
            </w:tcBorders>
            <w:vAlign w:val="bottom"/>
          </w:tcPr>
          <w:p w14:paraId="1A3463A8" w14:textId="0C992497" w:rsidR="0075067F" w:rsidRPr="00B626AD" w:rsidRDefault="0075067F" w:rsidP="00B626AD">
            <w:pPr>
              <w:pStyle w:val="Tabletext"/>
              <w:jc w:val="right"/>
            </w:pPr>
            <w:r w:rsidRPr="00B626AD">
              <w:t>317,930,955</w:t>
            </w:r>
          </w:p>
        </w:tc>
      </w:tr>
      <w:tr w:rsidR="0075067F" w:rsidRPr="00704A73" w14:paraId="63E6A73E" w14:textId="77777777" w:rsidTr="0075067F">
        <w:tc>
          <w:tcPr>
            <w:tcW w:w="6446" w:type="dxa"/>
            <w:tcBorders>
              <w:top w:val="single" w:sz="4" w:space="0" w:color="93B7BB"/>
              <w:bottom w:val="single" w:sz="4" w:space="0" w:color="93B7BB"/>
            </w:tcBorders>
          </w:tcPr>
          <w:p w14:paraId="375245C2" w14:textId="77777777" w:rsidR="0075067F" w:rsidRPr="00B626AD" w:rsidRDefault="0075067F" w:rsidP="00B626AD">
            <w:pPr>
              <w:pStyle w:val="Tabletext"/>
              <w:rPr>
                <w:b/>
              </w:rPr>
            </w:pPr>
            <w:r w:rsidRPr="00B626AD">
              <w:rPr>
                <w:b/>
              </w:rPr>
              <w:t>Diluted earnings per share (in pence per share)</w:t>
            </w:r>
          </w:p>
        </w:tc>
        <w:tc>
          <w:tcPr>
            <w:tcW w:w="1313" w:type="dxa"/>
            <w:tcBorders>
              <w:top w:val="single" w:sz="4" w:space="0" w:color="93B7BB"/>
              <w:bottom w:val="single" w:sz="4" w:space="0" w:color="93B7BB"/>
            </w:tcBorders>
            <w:shd w:val="clear" w:color="auto" w:fill="EFF4F5"/>
            <w:vAlign w:val="bottom"/>
          </w:tcPr>
          <w:p w14:paraId="6A4AEF14" w14:textId="106D1A28" w:rsidR="0075067F" w:rsidRPr="00B626AD" w:rsidRDefault="00A50EC3" w:rsidP="00B626AD">
            <w:pPr>
              <w:pStyle w:val="Tabletext"/>
              <w:jc w:val="right"/>
              <w:rPr>
                <w:b/>
              </w:rPr>
            </w:pPr>
            <w:r>
              <w:rPr>
                <w:b/>
              </w:rPr>
              <w:t>14.9</w:t>
            </w:r>
          </w:p>
        </w:tc>
        <w:tc>
          <w:tcPr>
            <w:tcW w:w="1313" w:type="dxa"/>
            <w:tcBorders>
              <w:top w:val="single" w:sz="4" w:space="0" w:color="93B7BB"/>
              <w:bottom w:val="single" w:sz="4" w:space="0" w:color="93B7BB"/>
            </w:tcBorders>
            <w:vAlign w:val="bottom"/>
          </w:tcPr>
          <w:p w14:paraId="57C2B6AB" w14:textId="07D058AE" w:rsidR="0075067F" w:rsidRPr="00B626AD" w:rsidRDefault="0075067F" w:rsidP="00B626AD">
            <w:pPr>
              <w:pStyle w:val="Tabletext"/>
              <w:jc w:val="right"/>
              <w:rPr>
                <w:b/>
              </w:rPr>
            </w:pPr>
            <w:r w:rsidRPr="00B626AD">
              <w:rPr>
                <w:b/>
              </w:rPr>
              <w:t>1.9</w:t>
            </w:r>
          </w:p>
        </w:tc>
      </w:tr>
    </w:tbl>
    <w:p w14:paraId="22AAEFA9" w14:textId="77777777" w:rsidR="00B22F3C" w:rsidRDefault="00B22F3C" w:rsidP="00B626AD">
      <w:pPr>
        <w:pStyle w:val="Footnote"/>
      </w:pPr>
    </w:p>
    <w:p w14:paraId="6DBFFFAC" w14:textId="31A53473" w:rsidR="00004F63" w:rsidRPr="00CE0A31" w:rsidRDefault="00364452" w:rsidP="00520CBD">
      <w:pPr>
        <w:pStyle w:val="Heading3"/>
      </w:pPr>
      <w:r>
        <w:t xml:space="preserve">13. </w:t>
      </w:r>
      <w:r w:rsidR="00004F63" w:rsidRPr="00CE0A31">
        <w:t>Intangible assets</w:t>
      </w:r>
    </w:p>
    <w:tbl>
      <w:tblPr>
        <w:tblW w:w="9072" w:type="dxa"/>
        <w:tblLayout w:type="fixed"/>
        <w:tblCellMar>
          <w:left w:w="0" w:type="dxa"/>
          <w:right w:w="57" w:type="dxa"/>
        </w:tblCellMar>
        <w:tblLook w:val="0000" w:firstRow="0" w:lastRow="0" w:firstColumn="0" w:lastColumn="0" w:noHBand="0" w:noVBand="0"/>
      </w:tblPr>
      <w:tblGrid>
        <w:gridCol w:w="6721"/>
        <w:gridCol w:w="2351"/>
      </w:tblGrid>
      <w:tr w:rsidR="002B4FCE" w:rsidRPr="00CE0A31" w14:paraId="5B3AA84F" w14:textId="77777777" w:rsidTr="002B4FCE">
        <w:tc>
          <w:tcPr>
            <w:tcW w:w="6721" w:type="dxa"/>
            <w:tcBorders>
              <w:bottom w:val="single" w:sz="4" w:space="0" w:color="93B7BB"/>
            </w:tcBorders>
            <w:vAlign w:val="bottom"/>
          </w:tcPr>
          <w:p w14:paraId="79FE592E" w14:textId="721BDAC9" w:rsidR="002B4FCE" w:rsidRPr="00CE0A31" w:rsidRDefault="002B4FCE" w:rsidP="00B21316">
            <w:pPr>
              <w:pStyle w:val="Tableheading"/>
            </w:pPr>
            <w:r>
              <w:t>(£ million)</w:t>
            </w:r>
          </w:p>
        </w:tc>
        <w:tc>
          <w:tcPr>
            <w:tcW w:w="2351" w:type="dxa"/>
            <w:tcBorders>
              <w:bottom w:val="single" w:sz="4" w:space="0" w:color="93B7BB"/>
            </w:tcBorders>
            <w:vAlign w:val="bottom"/>
          </w:tcPr>
          <w:p w14:paraId="2DB03053" w14:textId="613C45B4" w:rsidR="002B4FCE" w:rsidRPr="00CE0A31" w:rsidRDefault="002B4FCE" w:rsidP="00B21316">
            <w:pPr>
              <w:pStyle w:val="Tableheading"/>
              <w:ind w:right="-4"/>
              <w:jc w:val="right"/>
              <w:rPr>
                <w:color w:val="6F6F6E"/>
                <w:sz w:val="20"/>
                <w:szCs w:val="20"/>
              </w:rPr>
            </w:pPr>
            <w:r w:rsidRPr="00520CBD">
              <w:t>Goodwill</w:t>
            </w:r>
          </w:p>
        </w:tc>
      </w:tr>
      <w:tr w:rsidR="002B4FCE" w:rsidRPr="00CE0A31" w14:paraId="29A15DC9" w14:textId="77777777" w:rsidTr="002B4FCE">
        <w:tc>
          <w:tcPr>
            <w:tcW w:w="6721" w:type="dxa"/>
            <w:tcBorders>
              <w:top w:val="single" w:sz="4" w:space="0" w:color="93B7BB"/>
              <w:bottom w:val="single" w:sz="4" w:space="0" w:color="93B7BB"/>
            </w:tcBorders>
          </w:tcPr>
          <w:p w14:paraId="7457B577" w14:textId="3AEDB2DF" w:rsidR="002B4FCE" w:rsidRPr="00CE0A31" w:rsidRDefault="002B4FCE" w:rsidP="00B21316">
            <w:pPr>
              <w:pStyle w:val="Tabletext"/>
              <w:rPr>
                <w:lang w:val="en-US" w:eastAsia="nl-NL"/>
              </w:rPr>
            </w:pPr>
            <w:r w:rsidRPr="00520CBD">
              <w:rPr>
                <w:b/>
              </w:rPr>
              <w:t>Cost</w:t>
            </w:r>
          </w:p>
        </w:tc>
        <w:tc>
          <w:tcPr>
            <w:tcW w:w="2351" w:type="dxa"/>
            <w:tcBorders>
              <w:top w:val="single" w:sz="4" w:space="0" w:color="93B7BB"/>
              <w:bottom w:val="single" w:sz="4" w:space="0" w:color="93B7BB"/>
            </w:tcBorders>
            <w:vAlign w:val="bottom"/>
          </w:tcPr>
          <w:p w14:paraId="63D97D1B" w14:textId="49280F95" w:rsidR="002B4FCE" w:rsidRPr="00CE0A31" w:rsidRDefault="002B4FCE" w:rsidP="00B21316">
            <w:pPr>
              <w:pStyle w:val="Tabletext"/>
              <w:jc w:val="right"/>
            </w:pPr>
          </w:p>
        </w:tc>
      </w:tr>
      <w:tr w:rsidR="002B4FCE" w:rsidRPr="00CE0A31" w14:paraId="60CEBDCD" w14:textId="77777777" w:rsidTr="00DB58FF">
        <w:tc>
          <w:tcPr>
            <w:tcW w:w="6721" w:type="dxa"/>
            <w:tcBorders>
              <w:top w:val="single" w:sz="4" w:space="0" w:color="93B7BB"/>
            </w:tcBorders>
            <w:vAlign w:val="bottom"/>
          </w:tcPr>
          <w:p w14:paraId="2E97ADDB" w14:textId="6896F70D" w:rsidR="002B4FCE" w:rsidRPr="00CE0A31" w:rsidRDefault="002B4FCE" w:rsidP="00DB58FF">
            <w:pPr>
              <w:pStyle w:val="Tabletext"/>
              <w:rPr>
                <w:lang w:val="en-US" w:eastAsia="nl-NL"/>
              </w:rPr>
            </w:pPr>
            <w:r w:rsidRPr="00CE0A31">
              <w:rPr>
                <w:color w:val="6F6F6E"/>
              </w:rPr>
              <w:t>At 1 January 201</w:t>
            </w:r>
            <w:r w:rsidR="00DB58FF">
              <w:rPr>
                <w:color w:val="6F6F6E"/>
              </w:rPr>
              <w:t>4</w:t>
            </w:r>
          </w:p>
        </w:tc>
        <w:tc>
          <w:tcPr>
            <w:tcW w:w="2351" w:type="dxa"/>
            <w:tcBorders>
              <w:top w:val="single" w:sz="4" w:space="0" w:color="93B7BB"/>
            </w:tcBorders>
            <w:vAlign w:val="bottom"/>
          </w:tcPr>
          <w:p w14:paraId="0BF56921" w14:textId="536F9CFB" w:rsidR="002B4FCE" w:rsidRPr="00CE0A31" w:rsidRDefault="002B4FCE" w:rsidP="00B21316">
            <w:pPr>
              <w:pStyle w:val="Tabletext"/>
              <w:jc w:val="right"/>
            </w:pPr>
            <w:r w:rsidRPr="00CE0A31">
              <w:rPr>
                <w:color w:val="6F6F6E"/>
              </w:rPr>
              <w:t>516.2</w:t>
            </w:r>
          </w:p>
        </w:tc>
      </w:tr>
      <w:tr w:rsidR="00AD432A" w:rsidRPr="00CE0A31" w14:paraId="7196DAA3" w14:textId="77777777" w:rsidTr="00DB58FF">
        <w:tc>
          <w:tcPr>
            <w:tcW w:w="6721" w:type="dxa"/>
            <w:vAlign w:val="bottom"/>
          </w:tcPr>
          <w:p w14:paraId="006F71A5" w14:textId="0D945531" w:rsidR="00AD432A" w:rsidRPr="00CE0A31" w:rsidRDefault="00AD432A" w:rsidP="00B21316">
            <w:pPr>
              <w:pStyle w:val="Tabletext"/>
              <w:rPr>
                <w:color w:val="6F6F6E"/>
              </w:rPr>
            </w:pPr>
            <w:r w:rsidRPr="00CE0A31">
              <w:rPr>
                <w:color w:val="6F6F6E"/>
              </w:rPr>
              <w:t>Additions in the year</w:t>
            </w:r>
          </w:p>
        </w:tc>
        <w:tc>
          <w:tcPr>
            <w:tcW w:w="2351" w:type="dxa"/>
            <w:vAlign w:val="bottom"/>
          </w:tcPr>
          <w:p w14:paraId="4E677240" w14:textId="0BE6D176" w:rsidR="00AD432A" w:rsidRPr="00CE0A31" w:rsidRDefault="00AD432A" w:rsidP="00B21316">
            <w:pPr>
              <w:pStyle w:val="Tabletext"/>
              <w:jc w:val="right"/>
              <w:rPr>
                <w:color w:val="6F6F6E"/>
              </w:rPr>
            </w:pPr>
            <w:r>
              <w:rPr>
                <w:color w:val="6F6F6E"/>
              </w:rPr>
              <w:t>6</w:t>
            </w:r>
            <w:r w:rsidRPr="00CE0A31">
              <w:rPr>
                <w:color w:val="6F6F6E"/>
              </w:rPr>
              <w:t>.</w:t>
            </w:r>
            <w:r>
              <w:rPr>
                <w:color w:val="6F6F6E"/>
              </w:rPr>
              <w:t>6</w:t>
            </w:r>
          </w:p>
        </w:tc>
      </w:tr>
      <w:tr w:rsidR="00AD432A" w:rsidRPr="00CE0A31" w14:paraId="0F1835A9" w14:textId="77777777" w:rsidTr="00DB58FF">
        <w:tc>
          <w:tcPr>
            <w:tcW w:w="6721" w:type="dxa"/>
            <w:tcBorders>
              <w:bottom w:val="single" w:sz="4" w:space="0" w:color="93B7BB"/>
            </w:tcBorders>
            <w:vAlign w:val="bottom"/>
          </w:tcPr>
          <w:p w14:paraId="76543EC1" w14:textId="01AC57CE" w:rsidR="00AD432A" w:rsidRPr="00CE0A31" w:rsidRDefault="00AD432A" w:rsidP="00B21316">
            <w:pPr>
              <w:pStyle w:val="Tabletext"/>
              <w:rPr>
                <w:lang w:val="en-US" w:eastAsia="nl-NL"/>
              </w:rPr>
            </w:pPr>
            <w:r w:rsidRPr="00CE0A31">
              <w:rPr>
                <w:color w:val="6F6F6E"/>
              </w:rPr>
              <w:t>Disposal in the year</w:t>
            </w:r>
          </w:p>
        </w:tc>
        <w:tc>
          <w:tcPr>
            <w:tcW w:w="2351" w:type="dxa"/>
            <w:tcBorders>
              <w:bottom w:val="single" w:sz="4" w:space="0" w:color="93B7BB"/>
            </w:tcBorders>
            <w:vAlign w:val="bottom"/>
          </w:tcPr>
          <w:p w14:paraId="18F877CA" w14:textId="254E0AA1" w:rsidR="00AD432A" w:rsidRPr="00CE0A31" w:rsidRDefault="00AD432A" w:rsidP="00B21316">
            <w:pPr>
              <w:pStyle w:val="Tabletext"/>
              <w:jc w:val="right"/>
            </w:pPr>
            <w:r w:rsidRPr="00CE0A31">
              <w:rPr>
                <w:color w:val="6F6F6E"/>
              </w:rPr>
              <w:t>(2.7)</w:t>
            </w:r>
          </w:p>
        </w:tc>
      </w:tr>
      <w:tr w:rsidR="00AD432A" w:rsidRPr="00CE0A31" w14:paraId="67A5A3C3" w14:textId="77777777" w:rsidTr="00AD432A">
        <w:tc>
          <w:tcPr>
            <w:tcW w:w="6721" w:type="dxa"/>
            <w:tcBorders>
              <w:top w:val="single" w:sz="4" w:space="0" w:color="93B7BB"/>
            </w:tcBorders>
            <w:vAlign w:val="bottom"/>
          </w:tcPr>
          <w:p w14:paraId="2ECF4D7E" w14:textId="01E0809F" w:rsidR="00AD432A" w:rsidRPr="00CE0A31" w:rsidRDefault="00AD432A" w:rsidP="00DB58FF">
            <w:pPr>
              <w:pStyle w:val="Tabletext"/>
              <w:rPr>
                <w:lang w:val="en-US" w:eastAsia="nl-NL"/>
              </w:rPr>
            </w:pPr>
            <w:r w:rsidRPr="00CE0A31">
              <w:rPr>
                <w:color w:val="6F6F6E"/>
              </w:rPr>
              <w:t>At 1 January 201</w:t>
            </w:r>
            <w:r>
              <w:rPr>
                <w:color w:val="6F6F6E"/>
              </w:rPr>
              <w:t>5</w:t>
            </w:r>
          </w:p>
        </w:tc>
        <w:tc>
          <w:tcPr>
            <w:tcW w:w="2351" w:type="dxa"/>
            <w:tcBorders>
              <w:top w:val="single" w:sz="4" w:space="0" w:color="93B7BB"/>
            </w:tcBorders>
            <w:vAlign w:val="bottom"/>
          </w:tcPr>
          <w:p w14:paraId="61DC9DFB" w14:textId="3210AD95" w:rsidR="00AD432A" w:rsidRPr="00CE0A31" w:rsidRDefault="00AD432A" w:rsidP="00AD432A">
            <w:pPr>
              <w:pStyle w:val="Tabletext"/>
              <w:jc w:val="right"/>
            </w:pPr>
            <w:r w:rsidRPr="00CE0A31">
              <w:rPr>
                <w:color w:val="6F6F6E"/>
              </w:rPr>
              <w:t>5</w:t>
            </w:r>
            <w:r>
              <w:rPr>
                <w:color w:val="6F6F6E"/>
              </w:rPr>
              <w:t>20</w:t>
            </w:r>
            <w:r w:rsidRPr="00CE0A31">
              <w:rPr>
                <w:color w:val="6F6F6E"/>
              </w:rPr>
              <w:t>.</w:t>
            </w:r>
            <w:r>
              <w:rPr>
                <w:color w:val="6F6F6E"/>
              </w:rPr>
              <w:t>1</w:t>
            </w:r>
          </w:p>
        </w:tc>
      </w:tr>
      <w:tr w:rsidR="00AD432A" w:rsidRPr="00CE0A31" w14:paraId="1A6B191F" w14:textId="77777777" w:rsidTr="00AD432A">
        <w:tc>
          <w:tcPr>
            <w:tcW w:w="6721" w:type="dxa"/>
            <w:tcBorders>
              <w:bottom w:val="single" w:sz="4" w:space="0" w:color="93B7BB"/>
            </w:tcBorders>
            <w:vAlign w:val="bottom"/>
          </w:tcPr>
          <w:p w14:paraId="77F4D728" w14:textId="0CEA11EC" w:rsidR="00AD432A" w:rsidRPr="00CE0A31" w:rsidRDefault="00AD432A" w:rsidP="00B21316">
            <w:pPr>
              <w:pStyle w:val="Tabletext"/>
              <w:rPr>
                <w:lang w:val="en-US" w:eastAsia="nl-NL"/>
              </w:rPr>
            </w:pPr>
            <w:r w:rsidRPr="00CE0A31">
              <w:rPr>
                <w:color w:val="6F6F6E"/>
              </w:rPr>
              <w:t>Additions in the year</w:t>
            </w:r>
          </w:p>
        </w:tc>
        <w:tc>
          <w:tcPr>
            <w:tcW w:w="2351" w:type="dxa"/>
            <w:tcBorders>
              <w:bottom w:val="single" w:sz="4" w:space="0" w:color="93B7BB"/>
            </w:tcBorders>
            <w:vAlign w:val="bottom"/>
          </w:tcPr>
          <w:p w14:paraId="06EF03A2" w14:textId="0DC81857" w:rsidR="00AD432A" w:rsidRPr="00CE0A31" w:rsidRDefault="00AD432A" w:rsidP="00B21316">
            <w:pPr>
              <w:pStyle w:val="Tabletext"/>
              <w:jc w:val="right"/>
            </w:pPr>
            <w:r w:rsidRPr="004B1601">
              <w:t>–</w:t>
            </w:r>
          </w:p>
        </w:tc>
      </w:tr>
      <w:tr w:rsidR="00AD432A" w:rsidRPr="00CE0A31" w14:paraId="2C21ACA9" w14:textId="77777777" w:rsidTr="00AD432A">
        <w:tc>
          <w:tcPr>
            <w:tcW w:w="6721" w:type="dxa"/>
            <w:tcBorders>
              <w:top w:val="single" w:sz="4" w:space="0" w:color="93B7BB"/>
              <w:bottom w:val="single" w:sz="4" w:space="0" w:color="93B7BB"/>
            </w:tcBorders>
            <w:vAlign w:val="bottom"/>
          </w:tcPr>
          <w:p w14:paraId="00ABB8A8" w14:textId="1A15A440" w:rsidR="00AD432A" w:rsidRPr="00CE0A31" w:rsidRDefault="00AD432A" w:rsidP="00DB58FF">
            <w:pPr>
              <w:pStyle w:val="Tabletext"/>
            </w:pPr>
            <w:r w:rsidRPr="00520CBD">
              <w:rPr>
                <w:b/>
                <w:bCs/>
                <w:color w:val="6F6F6E"/>
              </w:rPr>
              <w:t>At 31 December 201</w:t>
            </w:r>
            <w:r>
              <w:rPr>
                <w:b/>
                <w:bCs/>
                <w:color w:val="6F6F6E"/>
              </w:rPr>
              <w:t>5</w:t>
            </w:r>
          </w:p>
        </w:tc>
        <w:tc>
          <w:tcPr>
            <w:tcW w:w="2351" w:type="dxa"/>
            <w:tcBorders>
              <w:top w:val="single" w:sz="4" w:space="0" w:color="93B7BB"/>
              <w:bottom w:val="single" w:sz="4" w:space="0" w:color="93B7BB"/>
            </w:tcBorders>
            <w:vAlign w:val="bottom"/>
          </w:tcPr>
          <w:p w14:paraId="56D7B403" w14:textId="13CA0B81" w:rsidR="00AD432A" w:rsidRPr="00CE0A31" w:rsidRDefault="00AD432A" w:rsidP="00B21316">
            <w:pPr>
              <w:pStyle w:val="Tabletext"/>
              <w:jc w:val="right"/>
            </w:pPr>
            <w:r w:rsidRPr="00520CBD">
              <w:rPr>
                <w:b/>
                <w:color w:val="6F6F6E"/>
              </w:rPr>
              <w:t>5</w:t>
            </w:r>
            <w:r>
              <w:rPr>
                <w:b/>
                <w:color w:val="6F6F6E"/>
              </w:rPr>
              <w:t>20</w:t>
            </w:r>
            <w:r w:rsidRPr="00520CBD">
              <w:rPr>
                <w:b/>
                <w:color w:val="6F6F6E"/>
              </w:rPr>
              <w:t>.</w:t>
            </w:r>
            <w:r>
              <w:rPr>
                <w:b/>
                <w:color w:val="6F6F6E"/>
              </w:rPr>
              <w:t>1</w:t>
            </w:r>
          </w:p>
        </w:tc>
      </w:tr>
      <w:tr w:rsidR="00AD432A" w:rsidRPr="00CE0A31" w14:paraId="2D510DF7" w14:textId="77777777" w:rsidTr="002B4FCE">
        <w:tc>
          <w:tcPr>
            <w:tcW w:w="6721" w:type="dxa"/>
            <w:tcBorders>
              <w:top w:val="single" w:sz="4" w:space="0" w:color="93B7BB"/>
            </w:tcBorders>
          </w:tcPr>
          <w:p w14:paraId="22E99EF8" w14:textId="38FDA291" w:rsidR="00AD432A" w:rsidRPr="00CE0A31" w:rsidRDefault="00AD432A" w:rsidP="00B21316">
            <w:pPr>
              <w:pStyle w:val="Tabletext"/>
            </w:pPr>
          </w:p>
        </w:tc>
        <w:tc>
          <w:tcPr>
            <w:tcW w:w="2351" w:type="dxa"/>
            <w:tcBorders>
              <w:top w:val="single" w:sz="4" w:space="0" w:color="93B7BB"/>
            </w:tcBorders>
            <w:vAlign w:val="bottom"/>
          </w:tcPr>
          <w:p w14:paraId="7784662F" w14:textId="3F5EF584" w:rsidR="00AD432A" w:rsidRPr="00CE0A31" w:rsidRDefault="00AD432A" w:rsidP="00B21316">
            <w:pPr>
              <w:pStyle w:val="Tabletext"/>
              <w:jc w:val="right"/>
            </w:pPr>
          </w:p>
        </w:tc>
      </w:tr>
      <w:tr w:rsidR="00AD432A" w:rsidRPr="00CE0A31" w14:paraId="4C03E35E" w14:textId="77777777" w:rsidTr="002B4FCE">
        <w:tc>
          <w:tcPr>
            <w:tcW w:w="6721" w:type="dxa"/>
            <w:tcBorders>
              <w:bottom w:val="single" w:sz="4" w:space="0" w:color="93B7BB"/>
            </w:tcBorders>
            <w:vAlign w:val="bottom"/>
          </w:tcPr>
          <w:p w14:paraId="19917DFF" w14:textId="449287E6" w:rsidR="00AD432A" w:rsidRPr="00CE0A31" w:rsidRDefault="00AD432A" w:rsidP="00B21316">
            <w:pPr>
              <w:pStyle w:val="Tabletext"/>
            </w:pPr>
            <w:r w:rsidRPr="00520CBD">
              <w:rPr>
                <w:b/>
                <w:bCs/>
                <w:color w:val="6F6F6E"/>
              </w:rPr>
              <w:t>Impairment</w:t>
            </w:r>
          </w:p>
        </w:tc>
        <w:tc>
          <w:tcPr>
            <w:tcW w:w="2351" w:type="dxa"/>
            <w:tcBorders>
              <w:bottom w:val="single" w:sz="4" w:space="0" w:color="93B7BB"/>
            </w:tcBorders>
            <w:vAlign w:val="bottom"/>
          </w:tcPr>
          <w:p w14:paraId="7D9B5B20" w14:textId="77777777" w:rsidR="00AD432A" w:rsidRPr="00CE0A31" w:rsidRDefault="00AD432A" w:rsidP="00B21316">
            <w:pPr>
              <w:pStyle w:val="Tabletext"/>
              <w:jc w:val="right"/>
            </w:pPr>
          </w:p>
        </w:tc>
      </w:tr>
      <w:tr w:rsidR="00AD432A" w:rsidRPr="00CE0A31" w14:paraId="083442C0" w14:textId="77777777" w:rsidTr="00AD432A">
        <w:tc>
          <w:tcPr>
            <w:tcW w:w="6721" w:type="dxa"/>
            <w:tcBorders>
              <w:top w:val="single" w:sz="4" w:space="0" w:color="93B7BB"/>
            </w:tcBorders>
            <w:vAlign w:val="bottom"/>
          </w:tcPr>
          <w:p w14:paraId="4C367A05" w14:textId="1189002B" w:rsidR="00AD432A" w:rsidRPr="00CE0A31" w:rsidRDefault="00AD432A" w:rsidP="00DB58FF">
            <w:pPr>
              <w:pStyle w:val="Tabletext"/>
            </w:pPr>
            <w:r w:rsidRPr="00CE0A31">
              <w:t>At 1 January 201</w:t>
            </w:r>
            <w:r>
              <w:t>4</w:t>
            </w:r>
          </w:p>
        </w:tc>
        <w:tc>
          <w:tcPr>
            <w:tcW w:w="2351" w:type="dxa"/>
            <w:tcBorders>
              <w:top w:val="single" w:sz="4" w:space="0" w:color="93B7BB"/>
            </w:tcBorders>
            <w:vAlign w:val="bottom"/>
          </w:tcPr>
          <w:p w14:paraId="60F3E8BB" w14:textId="03E19FE4" w:rsidR="00AD432A" w:rsidRPr="00CE0A31" w:rsidRDefault="00AD432A" w:rsidP="00B21316">
            <w:pPr>
              <w:pStyle w:val="Tabletext"/>
              <w:jc w:val="right"/>
            </w:pPr>
            <w:r w:rsidRPr="00CE0A31">
              <w:t>1.3</w:t>
            </w:r>
          </w:p>
        </w:tc>
      </w:tr>
      <w:tr w:rsidR="00AD432A" w:rsidRPr="00CE0A31" w14:paraId="42BFAD81" w14:textId="77777777" w:rsidTr="00AD432A">
        <w:tc>
          <w:tcPr>
            <w:tcW w:w="6721" w:type="dxa"/>
            <w:vAlign w:val="bottom"/>
          </w:tcPr>
          <w:p w14:paraId="73F4BD34" w14:textId="4AC29E83" w:rsidR="00AD432A" w:rsidRPr="00CE0A31" w:rsidRDefault="00AD432A" w:rsidP="00B21316">
            <w:pPr>
              <w:pStyle w:val="Tabletext"/>
            </w:pPr>
            <w:r w:rsidRPr="00CE0A31">
              <w:t>Charge for the year</w:t>
            </w:r>
          </w:p>
        </w:tc>
        <w:tc>
          <w:tcPr>
            <w:tcW w:w="2351" w:type="dxa"/>
            <w:vAlign w:val="bottom"/>
          </w:tcPr>
          <w:p w14:paraId="0F0B621D" w14:textId="01BFB131" w:rsidR="00AD432A" w:rsidRPr="00CE0A31" w:rsidRDefault="00AD432A" w:rsidP="00B21316">
            <w:pPr>
              <w:pStyle w:val="Tabletext"/>
              <w:jc w:val="right"/>
            </w:pPr>
            <w:r w:rsidRPr="00CE0A31">
              <w:t>1.0</w:t>
            </w:r>
          </w:p>
        </w:tc>
      </w:tr>
      <w:tr w:rsidR="00AD432A" w:rsidRPr="00CE0A31" w14:paraId="490B2015" w14:textId="77777777" w:rsidTr="00AD432A">
        <w:tc>
          <w:tcPr>
            <w:tcW w:w="6721" w:type="dxa"/>
            <w:tcBorders>
              <w:bottom w:val="single" w:sz="4" w:space="0" w:color="93B7BB"/>
            </w:tcBorders>
            <w:vAlign w:val="bottom"/>
          </w:tcPr>
          <w:p w14:paraId="360C58D3" w14:textId="0ABA14FC" w:rsidR="00AD432A" w:rsidRPr="00CE0A31" w:rsidRDefault="00AD432A" w:rsidP="00B21316">
            <w:pPr>
              <w:pStyle w:val="Tabletext"/>
            </w:pPr>
            <w:r w:rsidRPr="00CE0A31">
              <w:t xml:space="preserve">Disposal in the year </w:t>
            </w:r>
          </w:p>
        </w:tc>
        <w:tc>
          <w:tcPr>
            <w:tcW w:w="2351" w:type="dxa"/>
            <w:tcBorders>
              <w:bottom w:val="single" w:sz="4" w:space="0" w:color="93B7BB"/>
            </w:tcBorders>
            <w:vAlign w:val="bottom"/>
          </w:tcPr>
          <w:p w14:paraId="12B87271" w14:textId="60E279F0" w:rsidR="00AD432A" w:rsidRPr="00CE0A31" w:rsidRDefault="00AD432A" w:rsidP="00B21316">
            <w:pPr>
              <w:pStyle w:val="Tabletext"/>
              <w:jc w:val="right"/>
            </w:pPr>
            <w:r w:rsidRPr="00CE0A31">
              <w:t>(1.3)</w:t>
            </w:r>
          </w:p>
        </w:tc>
      </w:tr>
      <w:tr w:rsidR="00AD432A" w:rsidRPr="00CE0A31" w14:paraId="5A0B349E" w14:textId="77777777" w:rsidTr="002B4FCE">
        <w:tc>
          <w:tcPr>
            <w:tcW w:w="6721" w:type="dxa"/>
            <w:tcBorders>
              <w:top w:val="single" w:sz="4" w:space="0" w:color="93B7BB"/>
            </w:tcBorders>
            <w:vAlign w:val="bottom"/>
          </w:tcPr>
          <w:p w14:paraId="1D6E7BCC" w14:textId="3461473E" w:rsidR="00AD432A" w:rsidRPr="00CE0A31" w:rsidRDefault="00AD432A" w:rsidP="00DB58FF">
            <w:pPr>
              <w:pStyle w:val="Tabletext"/>
              <w:rPr>
                <w:b/>
              </w:rPr>
            </w:pPr>
            <w:r w:rsidRPr="00CE0A31">
              <w:t>At 1 January 201</w:t>
            </w:r>
            <w:r>
              <w:t>5</w:t>
            </w:r>
          </w:p>
        </w:tc>
        <w:tc>
          <w:tcPr>
            <w:tcW w:w="2351" w:type="dxa"/>
            <w:tcBorders>
              <w:top w:val="single" w:sz="4" w:space="0" w:color="93B7BB"/>
            </w:tcBorders>
            <w:vAlign w:val="bottom"/>
          </w:tcPr>
          <w:p w14:paraId="3290048C" w14:textId="491233E7" w:rsidR="00AD432A" w:rsidRPr="00CE0A31" w:rsidRDefault="00AD432A" w:rsidP="00AD432A">
            <w:pPr>
              <w:pStyle w:val="Tabletext"/>
              <w:jc w:val="right"/>
              <w:rPr>
                <w:b/>
              </w:rPr>
            </w:pPr>
            <w:r w:rsidRPr="00CE0A31">
              <w:t>1.</w:t>
            </w:r>
            <w:r>
              <w:t>0</w:t>
            </w:r>
          </w:p>
        </w:tc>
      </w:tr>
      <w:tr w:rsidR="00AD432A" w:rsidRPr="00CE0A31" w14:paraId="2ED86DE0" w14:textId="77777777" w:rsidTr="002B4FCE">
        <w:tc>
          <w:tcPr>
            <w:tcW w:w="6721" w:type="dxa"/>
            <w:vAlign w:val="bottom"/>
          </w:tcPr>
          <w:p w14:paraId="41DE5467" w14:textId="3439D2AA" w:rsidR="00AD432A" w:rsidRPr="00CE0A31" w:rsidRDefault="00AD432A" w:rsidP="00B21316">
            <w:pPr>
              <w:pStyle w:val="Tabletext"/>
              <w:rPr>
                <w:b/>
              </w:rPr>
            </w:pPr>
            <w:r w:rsidRPr="00CE0A31">
              <w:t>Charge for the year</w:t>
            </w:r>
          </w:p>
        </w:tc>
        <w:tc>
          <w:tcPr>
            <w:tcW w:w="2351" w:type="dxa"/>
            <w:vAlign w:val="bottom"/>
          </w:tcPr>
          <w:p w14:paraId="0958CDB6" w14:textId="505A7947" w:rsidR="00AD432A" w:rsidRPr="00CE0A31" w:rsidRDefault="00AD432A" w:rsidP="00B21316">
            <w:pPr>
              <w:pStyle w:val="Tabletext"/>
              <w:jc w:val="right"/>
              <w:rPr>
                <w:b/>
              </w:rPr>
            </w:pPr>
            <w:r w:rsidRPr="004B1601">
              <w:t>–</w:t>
            </w:r>
          </w:p>
        </w:tc>
      </w:tr>
      <w:tr w:rsidR="00AD432A" w:rsidRPr="00CE0A31" w14:paraId="603CDEB1" w14:textId="77777777" w:rsidTr="005B75D9">
        <w:tc>
          <w:tcPr>
            <w:tcW w:w="6721" w:type="dxa"/>
            <w:tcBorders>
              <w:top w:val="single" w:sz="4" w:space="0" w:color="93B7BB"/>
              <w:bottom w:val="single" w:sz="4" w:space="0" w:color="93B7BB"/>
            </w:tcBorders>
            <w:vAlign w:val="bottom"/>
          </w:tcPr>
          <w:p w14:paraId="36902FBA" w14:textId="2618B6A8" w:rsidR="00AD432A" w:rsidRPr="00CE0A31" w:rsidRDefault="00AD432A" w:rsidP="00DB58FF">
            <w:pPr>
              <w:pStyle w:val="Tabletext"/>
              <w:rPr>
                <w:b/>
              </w:rPr>
            </w:pPr>
            <w:r w:rsidRPr="00CE0A31">
              <w:rPr>
                <w:b/>
                <w:bCs/>
              </w:rPr>
              <w:t>At 31 December 201</w:t>
            </w:r>
            <w:r>
              <w:rPr>
                <w:b/>
                <w:bCs/>
              </w:rPr>
              <w:t>5</w:t>
            </w:r>
          </w:p>
        </w:tc>
        <w:tc>
          <w:tcPr>
            <w:tcW w:w="2351" w:type="dxa"/>
            <w:tcBorders>
              <w:top w:val="single" w:sz="4" w:space="0" w:color="93B7BB"/>
              <w:bottom w:val="single" w:sz="4" w:space="0" w:color="93B7BB"/>
            </w:tcBorders>
            <w:vAlign w:val="bottom"/>
          </w:tcPr>
          <w:p w14:paraId="5483D2DA" w14:textId="45EA1692" w:rsidR="00AD432A" w:rsidRPr="00CE0A31" w:rsidRDefault="00AD432A" w:rsidP="00B21316">
            <w:pPr>
              <w:pStyle w:val="Tabletext"/>
              <w:jc w:val="right"/>
              <w:rPr>
                <w:b/>
              </w:rPr>
            </w:pPr>
            <w:r w:rsidRPr="00CE0A31">
              <w:t>1.0</w:t>
            </w:r>
          </w:p>
        </w:tc>
      </w:tr>
      <w:tr w:rsidR="00AD432A" w:rsidRPr="00CE0A31" w14:paraId="20D38199" w14:textId="77777777" w:rsidTr="005B75D9">
        <w:tc>
          <w:tcPr>
            <w:tcW w:w="6721" w:type="dxa"/>
            <w:tcBorders>
              <w:top w:val="single" w:sz="4" w:space="0" w:color="93B7BB"/>
            </w:tcBorders>
            <w:vAlign w:val="bottom"/>
          </w:tcPr>
          <w:p w14:paraId="75C9874F" w14:textId="77864E2B" w:rsidR="00AD432A" w:rsidRPr="00CE0A31" w:rsidRDefault="00AD432A" w:rsidP="00B21316">
            <w:pPr>
              <w:pStyle w:val="Tabletext"/>
              <w:rPr>
                <w:b/>
              </w:rPr>
            </w:pPr>
          </w:p>
        </w:tc>
        <w:tc>
          <w:tcPr>
            <w:tcW w:w="2351" w:type="dxa"/>
            <w:tcBorders>
              <w:top w:val="single" w:sz="4" w:space="0" w:color="93B7BB"/>
            </w:tcBorders>
            <w:vAlign w:val="bottom"/>
          </w:tcPr>
          <w:p w14:paraId="4F58E845" w14:textId="77777777" w:rsidR="00AD432A" w:rsidRPr="00CE0A31" w:rsidRDefault="00AD432A" w:rsidP="00B21316">
            <w:pPr>
              <w:pStyle w:val="Tabletext"/>
              <w:jc w:val="right"/>
              <w:rPr>
                <w:b/>
              </w:rPr>
            </w:pPr>
          </w:p>
        </w:tc>
      </w:tr>
      <w:tr w:rsidR="00AD432A" w:rsidRPr="00CE0A31" w14:paraId="66470A2D" w14:textId="77777777" w:rsidTr="005B75D9">
        <w:tc>
          <w:tcPr>
            <w:tcW w:w="6721" w:type="dxa"/>
            <w:tcBorders>
              <w:bottom w:val="single" w:sz="4" w:space="0" w:color="93B7BB"/>
            </w:tcBorders>
            <w:vAlign w:val="bottom"/>
          </w:tcPr>
          <w:p w14:paraId="3D636227" w14:textId="5676014C" w:rsidR="00AD432A" w:rsidRPr="00CE0A31" w:rsidRDefault="00AD432A" w:rsidP="00B21316">
            <w:pPr>
              <w:pStyle w:val="Tabletext"/>
              <w:rPr>
                <w:b/>
              </w:rPr>
            </w:pPr>
            <w:r w:rsidRPr="00CE0A31">
              <w:rPr>
                <w:b/>
                <w:bCs/>
              </w:rPr>
              <w:t xml:space="preserve">Net </w:t>
            </w:r>
            <w:r>
              <w:rPr>
                <w:b/>
                <w:bCs/>
              </w:rPr>
              <w:t>book v</w:t>
            </w:r>
            <w:r w:rsidRPr="00CE0A31">
              <w:rPr>
                <w:b/>
                <w:bCs/>
              </w:rPr>
              <w:t>alue</w:t>
            </w:r>
          </w:p>
        </w:tc>
        <w:tc>
          <w:tcPr>
            <w:tcW w:w="2351" w:type="dxa"/>
            <w:tcBorders>
              <w:bottom w:val="single" w:sz="4" w:space="0" w:color="93B7BB"/>
            </w:tcBorders>
            <w:vAlign w:val="bottom"/>
          </w:tcPr>
          <w:p w14:paraId="28B942DE" w14:textId="77777777" w:rsidR="00AD432A" w:rsidRPr="00CE0A31" w:rsidRDefault="00AD432A" w:rsidP="00B21316">
            <w:pPr>
              <w:pStyle w:val="Tabletext"/>
              <w:jc w:val="right"/>
              <w:rPr>
                <w:b/>
              </w:rPr>
            </w:pPr>
          </w:p>
        </w:tc>
      </w:tr>
      <w:tr w:rsidR="00AD432A" w:rsidRPr="00CE0A31" w14:paraId="09124D48" w14:textId="77777777" w:rsidTr="002B4FCE">
        <w:tc>
          <w:tcPr>
            <w:tcW w:w="6721" w:type="dxa"/>
            <w:tcBorders>
              <w:top w:val="single" w:sz="4" w:space="0" w:color="93B7BB"/>
              <w:bottom w:val="single" w:sz="4" w:space="0" w:color="93B7BB"/>
            </w:tcBorders>
          </w:tcPr>
          <w:p w14:paraId="67AEC69D" w14:textId="558CBF31" w:rsidR="00AD432A" w:rsidRPr="00CE0A31" w:rsidRDefault="00AD432A" w:rsidP="00DB58FF">
            <w:pPr>
              <w:pStyle w:val="Tabletext"/>
              <w:rPr>
                <w:b/>
              </w:rPr>
            </w:pPr>
            <w:r w:rsidRPr="00CE0A31">
              <w:t>At 31 December 201</w:t>
            </w:r>
            <w:r>
              <w:t>5</w:t>
            </w:r>
          </w:p>
        </w:tc>
        <w:tc>
          <w:tcPr>
            <w:tcW w:w="2351" w:type="dxa"/>
            <w:tcBorders>
              <w:top w:val="single" w:sz="4" w:space="0" w:color="93B7BB"/>
              <w:bottom w:val="single" w:sz="4" w:space="0" w:color="93B7BB"/>
            </w:tcBorders>
            <w:vAlign w:val="bottom"/>
          </w:tcPr>
          <w:p w14:paraId="370655B2" w14:textId="43F0304D" w:rsidR="00AD432A" w:rsidRPr="00CE0A31" w:rsidRDefault="00AD432A" w:rsidP="00B21316">
            <w:pPr>
              <w:pStyle w:val="Tabletext"/>
              <w:jc w:val="right"/>
              <w:rPr>
                <w:b/>
              </w:rPr>
            </w:pPr>
            <w:r>
              <w:rPr>
                <w:b/>
              </w:rPr>
              <w:t>519.1</w:t>
            </w:r>
          </w:p>
        </w:tc>
      </w:tr>
      <w:tr w:rsidR="00AD432A" w:rsidRPr="00CE0A31" w14:paraId="51737424" w14:textId="77777777" w:rsidTr="002B4FCE">
        <w:tc>
          <w:tcPr>
            <w:tcW w:w="6721" w:type="dxa"/>
            <w:tcBorders>
              <w:top w:val="single" w:sz="4" w:space="0" w:color="93B7BB"/>
              <w:bottom w:val="single" w:sz="4" w:space="0" w:color="93B7BB"/>
            </w:tcBorders>
          </w:tcPr>
          <w:p w14:paraId="3B43010B" w14:textId="120ED4A5" w:rsidR="00AD432A" w:rsidRPr="00CE0A31" w:rsidRDefault="00AD432A" w:rsidP="00DB58FF">
            <w:pPr>
              <w:pStyle w:val="Tabletext"/>
              <w:rPr>
                <w:b/>
              </w:rPr>
            </w:pPr>
            <w:r w:rsidRPr="00CE0A31">
              <w:t>At 31 December 201</w:t>
            </w:r>
            <w:r>
              <w:t>4</w:t>
            </w:r>
          </w:p>
        </w:tc>
        <w:tc>
          <w:tcPr>
            <w:tcW w:w="2351" w:type="dxa"/>
            <w:tcBorders>
              <w:top w:val="single" w:sz="4" w:space="0" w:color="93B7BB"/>
              <w:bottom w:val="single" w:sz="4" w:space="0" w:color="93B7BB"/>
            </w:tcBorders>
            <w:vAlign w:val="bottom"/>
          </w:tcPr>
          <w:p w14:paraId="148BC78F" w14:textId="0B396F2F" w:rsidR="00AD432A" w:rsidRPr="00CE0A31" w:rsidRDefault="00AD432A" w:rsidP="00B21316">
            <w:pPr>
              <w:pStyle w:val="Tabletext"/>
              <w:jc w:val="right"/>
              <w:rPr>
                <w:b/>
              </w:rPr>
            </w:pPr>
            <w:r w:rsidRPr="00CE0A31">
              <w:t>51</w:t>
            </w:r>
            <w:r>
              <w:t>9</w:t>
            </w:r>
            <w:r w:rsidRPr="00CE0A31">
              <w:t>.</w:t>
            </w:r>
            <w:r>
              <w:t>1</w:t>
            </w:r>
          </w:p>
        </w:tc>
      </w:tr>
    </w:tbl>
    <w:p w14:paraId="15D3F857" w14:textId="77777777" w:rsidR="002B4FCE" w:rsidRDefault="002B4FCE" w:rsidP="002B4FCE">
      <w:pPr>
        <w:pStyle w:val="Footnote"/>
      </w:pPr>
    </w:p>
    <w:p w14:paraId="0FA575BF" w14:textId="365B87F2" w:rsidR="005B75D9" w:rsidRDefault="00004F63" w:rsidP="00571EFB">
      <w:pPr>
        <w:jc w:val="both"/>
        <w:rPr>
          <w:rFonts w:asciiTheme="majorHAnsi" w:eastAsiaTheme="majorEastAsia" w:hAnsiTheme="majorHAnsi" w:cstheme="majorBidi"/>
          <w:b/>
          <w:caps/>
          <w:color w:val="93B6BB"/>
          <w:szCs w:val="24"/>
        </w:rPr>
      </w:pPr>
      <w:r w:rsidRPr="00CE0A31">
        <w:t xml:space="preserve">The goodwill arising on acquisitions is reviewed annually for impairment or when there is an event that may indicate impairment. </w:t>
      </w:r>
      <w:r w:rsidR="00426559" w:rsidRPr="00CE0A31">
        <w:t>The p</w:t>
      </w:r>
      <w:r w:rsidRPr="00CE0A31">
        <w:t>rior year’s impairment of £</w:t>
      </w:r>
      <w:r w:rsidR="00571EFB">
        <w:t>1.</w:t>
      </w:r>
      <w:r w:rsidRPr="00CE0A31">
        <w:t xml:space="preserve">0 million relates to </w:t>
      </w:r>
      <w:r w:rsidR="00571EFB" w:rsidRPr="00CE0A31">
        <w:t xml:space="preserve">the Group’s goodwill in relation to an investment in a </w:t>
      </w:r>
      <w:r w:rsidR="00571EFB">
        <w:t>medical practice</w:t>
      </w:r>
      <w:r w:rsidR="00571EFB" w:rsidRPr="00CE0A31">
        <w:t xml:space="preserve"> following a CMA Final Order</w:t>
      </w:r>
      <w:r w:rsidRPr="00CE0A31">
        <w:t xml:space="preserve">. The </w:t>
      </w:r>
      <w:r w:rsidR="00125C78">
        <w:t>D</w:t>
      </w:r>
      <w:r w:rsidRPr="00CE0A31">
        <w:t xml:space="preserve">irectors do not believe that any impairment is required in the </w:t>
      </w:r>
      <w:r w:rsidR="00571EFB">
        <w:t xml:space="preserve">current </w:t>
      </w:r>
      <w:r w:rsidRPr="00CE0A31">
        <w:t xml:space="preserve">financial </w:t>
      </w:r>
      <w:r w:rsidR="00571EFB">
        <w:t>year</w:t>
      </w:r>
      <w:r w:rsidRPr="00CE0A31">
        <w:t>.</w:t>
      </w:r>
      <w:r w:rsidR="005B75D9">
        <w:br w:type="page"/>
      </w:r>
    </w:p>
    <w:p w14:paraId="085C4832" w14:textId="2A83717C" w:rsidR="00004F63" w:rsidRDefault="00364452" w:rsidP="00364452">
      <w:pPr>
        <w:pStyle w:val="Heading3"/>
      </w:pPr>
      <w:r>
        <w:lastRenderedPageBreak/>
        <w:t xml:space="preserve">14. </w:t>
      </w:r>
      <w:r w:rsidR="00004F63" w:rsidRPr="0098212B">
        <w:t>Property, plant and equipment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3261"/>
        <w:gridCol w:w="1134"/>
        <w:gridCol w:w="1134"/>
        <w:gridCol w:w="988"/>
        <w:gridCol w:w="1422"/>
        <w:gridCol w:w="1133"/>
      </w:tblGrid>
      <w:tr w:rsidR="005B75D9" w:rsidRPr="00716EDB" w14:paraId="3DFD129F" w14:textId="77777777" w:rsidTr="00F867FC">
        <w:tc>
          <w:tcPr>
            <w:tcW w:w="3261" w:type="dxa"/>
            <w:tcBorders>
              <w:bottom w:val="single" w:sz="4" w:space="0" w:color="93B7BB"/>
            </w:tcBorders>
            <w:vAlign w:val="bottom"/>
          </w:tcPr>
          <w:p w14:paraId="4B9EA5D2" w14:textId="1CB03D72" w:rsidR="005B75D9" w:rsidRDefault="005B75D9" w:rsidP="005B75D9">
            <w:pPr>
              <w:pStyle w:val="Tableheading"/>
              <w:keepNext/>
              <w:keepLines/>
            </w:pPr>
            <w:r w:rsidRPr="00716EDB">
              <w:t>(£ million)</w:t>
            </w:r>
          </w:p>
        </w:tc>
        <w:tc>
          <w:tcPr>
            <w:tcW w:w="1134" w:type="dxa"/>
            <w:tcBorders>
              <w:bottom w:val="single" w:sz="4" w:space="0" w:color="93B7BB"/>
            </w:tcBorders>
            <w:vAlign w:val="bottom"/>
          </w:tcPr>
          <w:p w14:paraId="3B0A9052" w14:textId="4769C9C5" w:rsidR="00F867FC" w:rsidRDefault="005B75D9" w:rsidP="00B21316">
            <w:pPr>
              <w:pStyle w:val="Tableheading"/>
              <w:keepNext/>
              <w:keepLines/>
              <w:jc w:val="right"/>
            </w:pPr>
            <w:r w:rsidRPr="00520CBD">
              <w:t>Freehold</w:t>
            </w:r>
          </w:p>
          <w:p w14:paraId="4B543137" w14:textId="1F4F7C8C" w:rsidR="005B75D9" w:rsidRPr="00716EDB" w:rsidRDefault="005B75D9" w:rsidP="00B21316">
            <w:pPr>
              <w:pStyle w:val="Tableheading"/>
              <w:keepNext/>
              <w:keepLines/>
              <w:jc w:val="right"/>
            </w:pPr>
            <w:r w:rsidRPr="00520CBD">
              <w:t>property</w:t>
            </w:r>
          </w:p>
        </w:tc>
        <w:tc>
          <w:tcPr>
            <w:tcW w:w="1134" w:type="dxa"/>
            <w:tcBorders>
              <w:bottom w:val="single" w:sz="4" w:space="0" w:color="93B7BB"/>
            </w:tcBorders>
            <w:vAlign w:val="bottom"/>
          </w:tcPr>
          <w:p w14:paraId="72B7793B" w14:textId="69D3B613" w:rsidR="005B75D9" w:rsidRPr="00716EDB" w:rsidRDefault="005B75D9" w:rsidP="00B21316">
            <w:pPr>
              <w:pStyle w:val="Tableheading"/>
              <w:keepNext/>
              <w:keepLines/>
              <w:jc w:val="right"/>
            </w:pPr>
            <w:r w:rsidRPr="00520CBD">
              <w:t>Long leasehold property</w:t>
            </w:r>
          </w:p>
        </w:tc>
        <w:tc>
          <w:tcPr>
            <w:tcW w:w="988" w:type="dxa"/>
            <w:tcBorders>
              <w:bottom w:val="single" w:sz="4" w:space="0" w:color="93B7BB"/>
            </w:tcBorders>
            <w:vAlign w:val="bottom"/>
          </w:tcPr>
          <w:p w14:paraId="624E3C97" w14:textId="35F5B94E" w:rsidR="005B75D9" w:rsidRPr="00716EDB" w:rsidRDefault="005B75D9" w:rsidP="00B21316">
            <w:pPr>
              <w:pStyle w:val="Tableheading"/>
              <w:keepNext/>
              <w:keepLines/>
              <w:jc w:val="right"/>
            </w:pPr>
            <w:r w:rsidRPr="00520CBD">
              <w:t>Equipment</w:t>
            </w:r>
          </w:p>
        </w:tc>
        <w:tc>
          <w:tcPr>
            <w:tcW w:w="1422" w:type="dxa"/>
            <w:tcBorders>
              <w:bottom w:val="single" w:sz="4" w:space="0" w:color="93B7BB"/>
            </w:tcBorders>
            <w:vAlign w:val="bottom"/>
          </w:tcPr>
          <w:p w14:paraId="70F6EB4C" w14:textId="5BD0B22D" w:rsidR="005B75D9" w:rsidRPr="00716EDB" w:rsidRDefault="005B75D9" w:rsidP="00B21316">
            <w:pPr>
              <w:pStyle w:val="Tableheading"/>
              <w:keepNext/>
              <w:keepLines/>
              <w:jc w:val="right"/>
            </w:pPr>
            <w:r w:rsidRPr="00520CBD">
              <w:t>Assets in the course of construction</w:t>
            </w:r>
          </w:p>
        </w:tc>
        <w:tc>
          <w:tcPr>
            <w:tcW w:w="1133" w:type="dxa"/>
            <w:tcBorders>
              <w:bottom w:val="single" w:sz="4" w:space="0" w:color="93B7BB"/>
            </w:tcBorders>
            <w:vAlign w:val="bottom"/>
          </w:tcPr>
          <w:p w14:paraId="64DAEE83" w14:textId="19596D61" w:rsidR="005B75D9" w:rsidRPr="00716EDB" w:rsidRDefault="005B75D9" w:rsidP="005B75D9">
            <w:pPr>
              <w:pStyle w:val="Tableheading"/>
              <w:keepNext/>
              <w:keepLines/>
              <w:jc w:val="right"/>
            </w:pPr>
            <w:r>
              <w:t>Total</w:t>
            </w:r>
          </w:p>
        </w:tc>
      </w:tr>
      <w:tr w:rsidR="00F867FC" w:rsidRPr="004B1601" w14:paraId="1F8E5DFF" w14:textId="77777777" w:rsidTr="00F867FC">
        <w:tc>
          <w:tcPr>
            <w:tcW w:w="3261" w:type="dxa"/>
            <w:tcBorders>
              <w:top w:val="single" w:sz="4" w:space="0" w:color="93B7BB"/>
            </w:tcBorders>
            <w:vAlign w:val="center"/>
          </w:tcPr>
          <w:p w14:paraId="5A978FCE" w14:textId="03C904B5" w:rsidR="00F867FC" w:rsidRPr="004B1601" w:rsidRDefault="009E1DDE" w:rsidP="009E1DDE">
            <w:pPr>
              <w:pStyle w:val="Tabletext"/>
              <w:keepNext/>
              <w:keepLines/>
            </w:pPr>
            <w:r w:rsidRPr="00520CBD">
              <w:rPr>
                <w:b/>
              </w:rPr>
              <w:t>Cost</w:t>
            </w:r>
          </w:p>
        </w:tc>
        <w:tc>
          <w:tcPr>
            <w:tcW w:w="1134" w:type="dxa"/>
            <w:tcBorders>
              <w:top w:val="single" w:sz="4" w:space="0" w:color="93B7BB"/>
            </w:tcBorders>
            <w:vAlign w:val="bottom"/>
          </w:tcPr>
          <w:p w14:paraId="2E0D5BF8" w14:textId="5DC49D5F" w:rsidR="00F867FC" w:rsidRPr="004B1601" w:rsidRDefault="00F867FC" w:rsidP="00B21316">
            <w:pPr>
              <w:pStyle w:val="Tabletext"/>
              <w:keepNext/>
              <w:keepLines/>
              <w:jc w:val="right"/>
            </w:pPr>
          </w:p>
        </w:tc>
        <w:tc>
          <w:tcPr>
            <w:tcW w:w="1134" w:type="dxa"/>
            <w:tcBorders>
              <w:top w:val="single" w:sz="4" w:space="0" w:color="93B7BB"/>
            </w:tcBorders>
            <w:vAlign w:val="bottom"/>
          </w:tcPr>
          <w:p w14:paraId="518E0765" w14:textId="60A6101A" w:rsidR="00F867FC" w:rsidRPr="004B1601" w:rsidRDefault="00F867FC" w:rsidP="00B21316">
            <w:pPr>
              <w:pStyle w:val="Tabletext"/>
              <w:keepNext/>
              <w:keepLines/>
              <w:jc w:val="right"/>
            </w:pPr>
          </w:p>
        </w:tc>
        <w:tc>
          <w:tcPr>
            <w:tcW w:w="988" w:type="dxa"/>
            <w:tcBorders>
              <w:top w:val="single" w:sz="4" w:space="0" w:color="93B7BB"/>
            </w:tcBorders>
            <w:vAlign w:val="bottom"/>
          </w:tcPr>
          <w:p w14:paraId="50BE8069" w14:textId="71DA5970" w:rsidR="00F867FC" w:rsidRPr="004B1601" w:rsidRDefault="00F867FC" w:rsidP="00B21316">
            <w:pPr>
              <w:pStyle w:val="Tabletext"/>
              <w:keepNext/>
              <w:keepLines/>
              <w:jc w:val="right"/>
            </w:pPr>
          </w:p>
        </w:tc>
        <w:tc>
          <w:tcPr>
            <w:tcW w:w="1422" w:type="dxa"/>
            <w:tcBorders>
              <w:top w:val="single" w:sz="4" w:space="0" w:color="93B7BB"/>
            </w:tcBorders>
            <w:vAlign w:val="bottom"/>
          </w:tcPr>
          <w:p w14:paraId="37512A5D" w14:textId="40E37A5F" w:rsidR="00F867FC" w:rsidRPr="004B1601" w:rsidRDefault="00F867FC" w:rsidP="00B21316">
            <w:pPr>
              <w:pStyle w:val="Tabletext"/>
              <w:keepNext/>
              <w:keepLines/>
              <w:jc w:val="right"/>
            </w:pPr>
          </w:p>
        </w:tc>
        <w:tc>
          <w:tcPr>
            <w:tcW w:w="1133" w:type="dxa"/>
            <w:tcBorders>
              <w:top w:val="single" w:sz="4" w:space="0" w:color="93B7BB"/>
            </w:tcBorders>
            <w:vAlign w:val="bottom"/>
          </w:tcPr>
          <w:p w14:paraId="3FD3130B" w14:textId="51C65624" w:rsidR="00F867FC" w:rsidRPr="004B1601" w:rsidRDefault="00F867FC" w:rsidP="00B21316">
            <w:pPr>
              <w:pStyle w:val="Tabletext"/>
              <w:keepNext/>
              <w:keepLines/>
              <w:jc w:val="right"/>
            </w:pPr>
          </w:p>
        </w:tc>
      </w:tr>
      <w:tr w:rsidR="009E1DDE" w:rsidRPr="004B1601" w14:paraId="2B58F9F9" w14:textId="77777777" w:rsidTr="00F867FC">
        <w:tc>
          <w:tcPr>
            <w:tcW w:w="3261" w:type="dxa"/>
            <w:tcBorders>
              <w:top w:val="single" w:sz="4" w:space="0" w:color="93B7BB"/>
            </w:tcBorders>
            <w:vAlign w:val="center"/>
          </w:tcPr>
          <w:p w14:paraId="5A1F644C" w14:textId="5297EFFD" w:rsidR="009E1DDE" w:rsidRPr="004B1601" w:rsidRDefault="009E1DDE" w:rsidP="00F867FC">
            <w:pPr>
              <w:pStyle w:val="Tabletext"/>
              <w:keepNext/>
              <w:keepLines/>
              <w:rPr>
                <w:lang w:val="en-US" w:eastAsia="nl-NL"/>
              </w:rPr>
            </w:pPr>
            <w:r w:rsidRPr="004B1601">
              <w:rPr>
                <w:lang w:val="en-US" w:eastAsia="nl-NL"/>
              </w:rPr>
              <w:t>At 1 January 2014</w:t>
            </w:r>
            <w:r>
              <w:rPr>
                <w:lang w:val="en-US" w:eastAsia="nl-NL"/>
              </w:rPr>
              <w:t xml:space="preserve"> as previously reported</w:t>
            </w:r>
          </w:p>
        </w:tc>
        <w:tc>
          <w:tcPr>
            <w:tcW w:w="1134" w:type="dxa"/>
            <w:tcBorders>
              <w:top w:val="single" w:sz="4" w:space="0" w:color="93B7BB"/>
            </w:tcBorders>
            <w:vAlign w:val="bottom"/>
          </w:tcPr>
          <w:p w14:paraId="01579C78" w14:textId="29DEA9B5" w:rsidR="009E1DDE" w:rsidRPr="00CE0A31" w:rsidRDefault="009E1DDE" w:rsidP="00B21316">
            <w:pPr>
              <w:pStyle w:val="Tabletext"/>
              <w:keepNext/>
              <w:keepLines/>
              <w:jc w:val="right"/>
            </w:pPr>
            <w:r w:rsidRPr="00CE0A31">
              <w:t>567.8</w:t>
            </w:r>
          </w:p>
        </w:tc>
        <w:tc>
          <w:tcPr>
            <w:tcW w:w="1134" w:type="dxa"/>
            <w:tcBorders>
              <w:top w:val="single" w:sz="4" w:space="0" w:color="93B7BB"/>
            </w:tcBorders>
            <w:vAlign w:val="bottom"/>
          </w:tcPr>
          <w:p w14:paraId="191A4771" w14:textId="5E2154B3" w:rsidR="009E1DDE" w:rsidRPr="00CE0A31" w:rsidRDefault="009E1DDE" w:rsidP="00B21316">
            <w:pPr>
              <w:pStyle w:val="Tabletext"/>
              <w:keepNext/>
              <w:keepLines/>
              <w:jc w:val="right"/>
            </w:pPr>
            <w:r w:rsidRPr="00CE0A31">
              <w:t>186.5</w:t>
            </w:r>
          </w:p>
        </w:tc>
        <w:tc>
          <w:tcPr>
            <w:tcW w:w="988" w:type="dxa"/>
            <w:tcBorders>
              <w:top w:val="single" w:sz="4" w:space="0" w:color="93B7BB"/>
            </w:tcBorders>
            <w:vAlign w:val="bottom"/>
          </w:tcPr>
          <w:p w14:paraId="20337519" w14:textId="3FBB4FF6" w:rsidR="009E1DDE" w:rsidRPr="00CE0A31" w:rsidRDefault="009E1DDE" w:rsidP="00B21316">
            <w:pPr>
              <w:pStyle w:val="Tabletext"/>
              <w:keepNext/>
              <w:keepLines/>
              <w:jc w:val="right"/>
            </w:pPr>
            <w:r w:rsidRPr="00CE0A31">
              <w:t>234.4</w:t>
            </w:r>
          </w:p>
        </w:tc>
        <w:tc>
          <w:tcPr>
            <w:tcW w:w="1422" w:type="dxa"/>
            <w:tcBorders>
              <w:top w:val="single" w:sz="4" w:space="0" w:color="93B7BB"/>
            </w:tcBorders>
            <w:vAlign w:val="bottom"/>
          </w:tcPr>
          <w:p w14:paraId="71200427" w14:textId="0FF770A7" w:rsidR="009E1DDE" w:rsidRPr="00CE0A31" w:rsidRDefault="009E1DDE" w:rsidP="00B21316">
            <w:pPr>
              <w:pStyle w:val="Tabletext"/>
              <w:keepNext/>
              <w:keepLines/>
              <w:jc w:val="right"/>
            </w:pPr>
            <w:r w:rsidRPr="00CE0A31">
              <w:t>6.2</w:t>
            </w:r>
          </w:p>
        </w:tc>
        <w:tc>
          <w:tcPr>
            <w:tcW w:w="1133" w:type="dxa"/>
            <w:tcBorders>
              <w:top w:val="single" w:sz="4" w:space="0" w:color="93B7BB"/>
            </w:tcBorders>
            <w:vAlign w:val="bottom"/>
          </w:tcPr>
          <w:p w14:paraId="744C39F9" w14:textId="22A979CE" w:rsidR="009E1DDE" w:rsidRPr="00CE0A31" w:rsidRDefault="009E1DDE" w:rsidP="00B21316">
            <w:pPr>
              <w:pStyle w:val="Tabletext"/>
              <w:keepNext/>
              <w:keepLines/>
              <w:jc w:val="right"/>
            </w:pPr>
            <w:r w:rsidRPr="00CE0A31">
              <w:t>994.9</w:t>
            </w:r>
          </w:p>
        </w:tc>
      </w:tr>
      <w:tr w:rsidR="009E1DDE" w:rsidRPr="004B1601" w14:paraId="580482A4" w14:textId="77777777" w:rsidTr="00F867FC">
        <w:tc>
          <w:tcPr>
            <w:tcW w:w="3261" w:type="dxa"/>
            <w:tcBorders>
              <w:bottom w:val="single" w:sz="4" w:space="0" w:color="93B7BB"/>
            </w:tcBorders>
            <w:vAlign w:val="center"/>
          </w:tcPr>
          <w:p w14:paraId="51C479CC" w14:textId="5537AA54" w:rsidR="009E1DDE" w:rsidRPr="004B1601" w:rsidRDefault="009E1DDE" w:rsidP="00DB58FF">
            <w:pPr>
              <w:pStyle w:val="Tabletext"/>
              <w:keepNext/>
              <w:keepLines/>
            </w:pPr>
            <w:r>
              <w:rPr>
                <w:lang w:val="en-US" w:eastAsia="nl-NL"/>
              </w:rPr>
              <w:t>Restatement</w:t>
            </w:r>
          </w:p>
        </w:tc>
        <w:tc>
          <w:tcPr>
            <w:tcW w:w="1134" w:type="dxa"/>
            <w:tcBorders>
              <w:bottom w:val="single" w:sz="4" w:space="0" w:color="93B7BB"/>
            </w:tcBorders>
            <w:vAlign w:val="bottom"/>
          </w:tcPr>
          <w:p w14:paraId="769317DD" w14:textId="77777777" w:rsidR="009E1DDE" w:rsidRPr="004B1601" w:rsidRDefault="009E1DDE" w:rsidP="00B21316">
            <w:pPr>
              <w:pStyle w:val="Tabletext"/>
              <w:keepNext/>
              <w:keepLines/>
              <w:jc w:val="right"/>
            </w:pPr>
            <w:r w:rsidRPr="004B1601">
              <w:t>–</w:t>
            </w:r>
          </w:p>
        </w:tc>
        <w:tc>
          <w:tcPr>
            <w:tcW w:w="1134" w:type="dxa"/>
            <w:tcBorders>
              <w:bottom w:val="single" w:sz="4" w:space="0" w:color="93B7BB"/>
            </w:tcBorders>
            <w:vAlign w:val="bottom"/>
          </w:tcPr>
          <w:p w14:paraId="04077A3E" w14:textId="16D5D416" w:rsidR="009E1DDE" w:rsidRPr="004B1601" w:rsidRDefault="009E1DDE" w:rsidP="00D4789D">
            <w:pPr>
              <w:pStyle w:val="Tabletext"/>
              <w:keepNext/>
              <w:keepLines/>
              <w:jc w:val="right"/>
            </w:pPr>
            <w:r>
              <w:t>(5.3)</w:t>
            </w:r>
          </w:p>
        </w:tc>
        <w:tc>
          <w:tcPr>
            <w:tcW w:w="988" w:type="dxa"/>
            <w:tcBorders>
              <w:bottom w:val="single" w:sz="4" w:space="0" w:color="93B7BB"/>
            </w:tcBorders>
            <w:vAlign w:val="bottom"/>
          </w:tcPr>
          <w:p w14:paraId="2DE940DD" w14:textId="77777777" w:rsidR="009E1DDE" w:rsidRPr="004B1601" w:rsidRDefault="009E1DDE" w:rsidP="00B21316">
            <w:pPr>
              <w:pStyle w:val="Tabletext"/>
              <w:keepNext/>
              <w:keepLines/>
              <w:jc w:val="right"/>
            </w:pPr>
            <w:r w:rsidRPr="004B1601">
              <w:t>–</w:t>
            </w:r>
          </w:p>
        </w:tc>
        <w:tc>
          <w:tcPr>
            <w:tcW w:w="1422" w:type="dxa"/>
            <w:tcBorders>
              <w:bottom w:val="single" w:sz="4" w:space="0" w:color="93B7BB"/>
            </w:tcBorders>
            <w:vAlign w:val="bottom"/>
          </w:tcPr>
          <w:p w14:paraId="686A3BCB" w14:textId="05A74A54" w:rsidR="009E1DDE" w:rsidRPr="004B1601" w:rsidRDefault="009E1DDE" w:rsidP="00B21316">
            <w:pPr>
              <w:pStyle w:val="Tabletext"/>
              <w:keepNext/>
              <w:keepLines/>
              <w:jc w:val="right"/>
            </w:pPr>
            <w:r w:rsidRPr="004B1601">
              <w:t>–</w:t>
            </w:r>
          </w:p>
        </w:tc>
        <w:tc>
          <w:tcPr>
            <w:tcW w:w="1133" w:type="dxa"/>
            <w:tcBorders>
              <w:bottom w:val="single" w:sz="4" w:space="0" w:color="93B7BB"/>
            </w:tcBorders>
            <w:vAlign w:val="bottom"/>
          </w:tcPr>
          <w:p w14:paraId="4E84CEF6" w14:textId="5D0277A2" w:rsidR="009E1DDE" w:rsidRPr="004B1601" w:rsidRDefault="009E1DDE" w:rsidP="00D4789D">
            <w:pPr>
              <w:pStyle w:val="Tabletext"/>
              <w:keepNext/>
              <w:keepLines/>
              <w:jc w:val="right"/>
            </w:pPr>
            <w:r>
              <w:t>(5.3)</w:t>
            </w:r>
          </w:p>
        </w:tc>
      </w:tr>
      <w:tr w:rsidR="009E1DDE" w:rsidRPr="006F03A1" w14:paraId="2A8C636E" w14:textId="77777777" w:rsidTr="00F867FC">
        <w:tc>
          <w:tcPr>
            <w:tcW w:w="3261" w:type="dxa"/>
            <w:tcBorders>
              <w:top w:val="single" w:sz="4" w:space="0" w:color="93B7BB"/>
            </w:tcBorders>
            <w:vAlign w:val="center"/>
          </w:tcPr>
          <w:p w14:paraId="746A39E7" w14:textId="4D445018" w:rsidR="009E1DDE" w:rsidRPr="006F03A1" w:rsidRDefault="009E1DDE" w:rsidP="00F867FC">
            <w:pPr>
              <w:pStyle w:val="Tabletext"/>
              <w:keepNext/>
              <w:keepLines/>
              <w:rPr>
                <w:b/>
              </w:rPr>
            </w:pPr>
            <w:r w:rsidRPr="006F03A1">
              <w:rPr>
                <w:b/>
                <w:lang w:val="en-US" w:eastAsia="nl-NL"/>
              </w:rPr>
              <w:t>At 1 January 2014 as restated</w:t>
            </w:r>
          </w:p>
        </w:tc>
        <w:tc>
          <w:tcPr>
            <w:tcW w:w="1134" w:type="dxa"/>
            <w:tcBorders>
              <w:top w:val="single" w:sz="4" w:space="0" w:color="93B7BB"/>
            </w:tcBorders>
            <w:vAlign w:val="bottom"/>
          </w:tcPr>
          <w:p w14:paraId="63654B03" w14:textId="1DA9D5E7" w:rsidR="009E1DDE" w:rsidRPr="006F03A1" w:rsidRDefault="009E1DDE" w:rsidP="00B21316">
            <w:pPr>
              <w:pStyle w:val="Tabletext"/>
              <w:keepNext/>
              <w:keepLines/>
              <w:jc w:val="right"/>
              <w:rPr>
                <w:b/>
              </w:rPr>
            </w:pPr>
            <w:r>
              <w:rPr>
                <w:b/>
              </w:rPr>
              <w:t>567.8</w:t>
            </w:r>
          </w:p>
        </w:tc>
        <w:tc>
          <w:tcPr>
            <w:tcW w:w="1134" w:type="dxa"/>
            <w:tcBorders>
              <w:top w:val="single" w:sz="4" w:space="0" w:color="93B7BB"/>
            </w:tcBorders>
            <w:vAlign w:val="bottom"/>
          </w:tcPr>
          <w:p w14:paraId="3FFBA122" w14:textId="5F97E111" w:rsidR="009E1DDE" w:rsidRPr="006F03A1" w:rsidRDefault="009E1DDE" w:rsidP="00D4789D">
            <w:pPr>
              <w:pStyle w:val="Tabletext"/>
              <w:keepNext/>
              <w:keepLines/>
              <w:jc w:val="right"/>
              <w:rPr>
                <w:b/>
              </w:rPr>
            </w:pPr>
            <w:r>
              <w:rPr>
                <w:b/>
              </w:rPr>
              <w:t>181.2</w:t>
            </w:r>
          </w:p>
        </w:tc>
        <w:tc>
          <w:tcPr>
            <w:tcW w:w="988" w:type="dxa"/>
            <w:tcBorders>
              <w:top w:val="single" w:sz="4" w:space="0" w:color="93B7BB"/>
            </w:tcBorders>
            <w:vAlign w:val="bottom"/>
          </w:tcPr>
          <w:p w14:paraId="33617689" w14:textId="4AD217D6" w:rsidR="009E1DDE" w:rsidRPr="006F03A1" w:rsidRDefault="009E1DDE" w:rsidP="00D4789D">
            <w:pPr>
              <w:pStyle w:val="Tabletext"/>
              <w:keepNext/>
              <w:keepLines/>
              <w:jc w:val="right"/>
              <w:rPr>
                <w:b/>
              </w:rPr>
            </w:pPr>
            <w:r>
              <w:rPr>
                <w:b/>
              </w:rPr>
              <w:t>234.4</w:t>
            </w:r>
          </w:p>
        </w:tc>
        <w:tc>
          <w:tcPr>
            <w:tcW w:w="1422" w:type="dxa"/>
            <w:tcBorders>
              <w:top w:val="single" w:sz="4" w:space="0" w:color="93B7BB"/>
            </w:tcBorders>
            <w:vAlign w:val="bottom"/>
          </w:tcPr>
          <w:p w14:paraId="3D0D2FCD" w14:textId="3087A5FC" w:rsidR="009E1DDE" w:rsidRPr="006F03A1" w:rsidRDefault="009E1DDE" w:rsidP="00D4789D">
            <w:pPr>
              <w:pStyle w:val="Tabletext"/>
              <w:keepNext/>
              <w:keepLines/>
              <w:jc w:val="right"/>
              <w:rPr>
                <w:b/>
              </w:rPr>
            </w:pPr>
            <w:r w:rsidRPr="006F03A1">
              <w:rPr>
                <w:b/>
              </w:rPr>
              <w:t>6.2</w:t>
            </w:r>
          </w:p>
        </w:tc>
        <w:tc>
          <w:tcPr>
            <w:tcW w:w="1133" w:type="dxa"/>
            <w:tcBorders>
              <w:top w:val="single" w:sz="4" w:space="0" w:color="93B7BB"/>
            </w:tcBorders>
            <w:vAlign w:val="bottom"/>
          </w:tcPr>
          <w:p w14:paraId="3DEF90A2" w14:textId="48FBC069" w:rsidR="009E1DDE" w:rsidRPr="006F03A1" w:rsidRDefault="009E1DDE" w:rsidP="00D4789D">
            <w:pPr>
              <w:pStyle w:val="Tabletext"/>
              <w:keepNext/>
              <w:keepLines/>
              <w:jc w:val="right"/>
              <w:rPr>
                <w:b/>
              </w:rPr>
            </w:pPr>
            <w:r>
              <w:rPr>
                <w:b/>
              </w:rPr>
              <w:t>989</w:t>
            </w:r>
            <w:r w:rsidRPr="006F03A1">
              <w:rPr>
                <w:b/>
              </w:rPr>
              <w:t>.</w:t>
            </w:r>
            <w:r>
              <w:rPr>
                <w:b/>
              </w:rPr>
              <w:t>6</w:t>
            </w:r>
          </w:p>
        </w:tc>
      </w:tr>
      <w:tr w:rsidR="009E1DDE" w:rsidRPr="004B1601" w14:paraId="2FBE69A0" w14:textId="77777777" w:rsidTr="00F867FC">
        <w:tc>
          <w:tcPr>
            <w:tcW w:w="3261" w:type="dxa"/>
          </w:tcPr>
          <w:p w14:paraId="37A135C7" w14:textId="0F4D3E16" w:rsidR="009E1DDE" w:rsidRPr="004B1601" w:rsidRDefault="009E1DDE" w:rsidP="00F867FC">
            <w:pPr>
              <w:pStyle w:val="Tabletext"/>
              <w:keepNext/>
              <w:keepLines/>
            </w:pPr>
            <w:r w:rsidRPr="00CE0A31">
              <w:t>Additions</w:t>
            </w:r>
          </w:p>
        </w:tc>
        <w:tc>
          <w:tcPr>
            <w:tcW w:w="1134" w:type="dxa"/>
            <w:vAlign w:val="bottom"/>
          </w:tcPr>
          <w:p w14:paraId="3E98F36D" w14:textId="76F26F4B" w:rsidR="009E1DDE" w:rsidRPr="004B1601" w:rsidRDefault="009E1DDE" w:rsidP="00B21316">
            <w:pPr>
              <w:pStyle w:val="Tabletext"/>
              <w:keepNext/>
              <w:keepLines/>
              <w:jc w:val="right"/>
            </w:pPr>
            <w:r w:rsidRPr="00CE0A31">
              <w:t>23.1</w:t>
            </w:r>
          </w:p>
        </w:tc>
        <w:tc>
          <w:tcPr>
            <w:tcW w:w="1134" w:type="dxa"/>
            <w:vAlign w:val="bottom"/>
          </w:tcPr>
          <w:p w14:paraId="0CBF782A" w14:textId="4DA49312" w:rsidR="009E1DDE" w:rsidRPr="004B1601" w:rsidRDefault="009E1DDE" w:rsidP="00B21316">
            <w:pPr>
              <w:pStyle w:val="Tabletext"/>
              <w:keepNext/>
              <w:keepLines/>
              <w:jc w:val="right"/>
            </w:pPr>
            <w:r w:rsidRPr="00CE0A31">
              <w:t>10.2</w:t>
            </w:r>
          </w:p>
        </w:tc>
        <w:tc>
          <w:tcPr>
            <w:tcW w:w="988" w:type="dxa"/>
            <w:vAlign w:val="bottom"/>
          </w:tcPr>
          <w:p w14:paraId="28719563" w14:textId="3DAAF913" w:rsidR="009E1DDE" w:rsidRPr="004B1601" w:rsidRDefault="009E1DDE" w:rsidP="00B21316">
            <w:pPr>
              <w:pStyle w:val="Tabletext"/>
              <w:keepNext/>
              <w:keepLines/>
              <w:jc w:val="right"/>
            </w:pPr>
            <w:r w:rsidRPr="00CE0A31">
              <w:t>32.5</w:t>
            </w:r>
          </w:p>
        </w:tc>
        <w:tc>
          <w:tcPr>
            <w:tcW w:w="1422" w:type="dxa"/>
            <w:vAlign w:val="bottom"/>
          </w:tcPr>
          <w:p w14:paraId="287CBE4C" w14:textId="63221814" w:rsidR="009E1DDE" w:rsidRPr="00716EDB" w:rsidRDefault="009E1DDE" w:rsidP="00B21316">
            <w:pPr>
              <w:pStyle w:val="Tabletext"/>
              <w:keepNext/>
              <w:keepLines/>
              <w:jc w:val="right"/>
            </w:pPr>
            <w:r w:rsidRPr="00CE0A31">
              <w:t>1.4</w:t>
            </w:r>
          </w:p>
        </w:tc>
        <w:tc>
          <w:tcPr>
            <w:tcW w:w="1133" w:type="dxa"/>
            <w:vAlign w:val="bottom"/>
          </w:tcPr>
          <w:p w14:paraId="549D4073" w14:textId="2E02B0BA" w:rsidR="009E1DDE" w:rsidRPr="00716EDB" w:rsidRDefault="009E1DDE" w:rsidP="00B21316">
            <w:pPr>
              <w:pStyle w:val="Tabletext"/>
              <w:keepNext/>
              <w:keepLines/>
              <w:jc w:val="right"/>
            </w:pPr>
            <w:r w:rsidRPr="00CE0A31">
              <w:t>67.2</w:t>
            </w:r>
          </w:p>
        </w:tc>
      </w:tr>
      <w:tr w:rsidR="009E1DDE" w:rsidRPr="004B1601" w14:paraId="68BE920B" w14:textId="77777777" w:rsidTr="00F867FC">
        <w:tc>
          <w:tcPr>
            <w:tcW w:w="3261" w:type="dxa"/>
          </w:tcPr>
          <w:p w14:paraId="07A61611" w14:textId="2A1874FE" w:rsidR="009E1DDE" w:rsidRPr="004B1601" w:rsidRDefault="009E1DDE" w:rsidP="00F867FC">
            <w:pPr>
              <w:pStyle w:val="Tabletext"/>
              <w:keepNext/>
              <w:keepLines/>
            </w:pPr>
            <w:r w:rsidRPr="00CE0A31">
              <w:t>Additions on business combination</w:t>
            </w:r>
          </w:p>
        </w:tc>
        <w:tc>
          <w:tcPr>
            <w:tcW w:w="1134" w:type="dxa"/>
            <w:vAlign w:val="bottom"/>
          </w:tcPr>
          <w:p w14:paraId="09A94885" w14:textId="384293E8" w:rsidR="009E1DDE" w:rsidRPr="004B1601" w:rsidRDefault="009E1DDE" w:rsidP="00B21316">
            <w:pPr>
              <w:pStyle w:val="Tabletext"/>
              <w:keepNext/>
              <w:keepLines/>
              <w:jc w:val="right"/>
            </w:pPr>
            <w:r w:rsidRPr="00CE0A31">
              <w:t>27.1</w:t>
            </w:r>
          </w:p>
        </w:tc>
        <w:tc>
          <w:tcPr>
            <w:tcW w:w="1134" w:type="dxa"/>
            <w:vAlign w:val="bottom"/>
          </w:tcPr>
          <w:p w14:paraId="3E4FCE97" w14:textId="6D30F7EE" w:rsidR="009E1DDE" w:rsidRPr="004B1601" w:rsidRDefault="009E1DDE" w:rsidP="00B21316">
            <w:pPr>
              <w:pStyle w:val="Tabletext"/>
              <w:keepNext/>
              <w:keepLines/>
              <w:jc w:val="right"/>
            </w:pPr>
            <w:r w:rsidRPr="00CE0A31">
              <w:t>–</w:t>
            </w:r>
          </w:p>
        </w:tc>
        <w:tc>
          <w:tcPr>
            <w:tcW w:w="988" w:type="dxa"/>
            <w:vAlign w:val="bottom"/>
          </w:tcPr>
          <w:p w14:paraId="16B53A25" w14:textId="0AA45EB3" w:rsidR="009E1DDE" w:rsidRPr="004B1601" w:rsidRDefault="009E1DDE" w:rsidP="00B21316">
            <w:pPr>
              <w:pStyle w:val="Tabletext"/>
              <w:keepNext/>
              <w:keepLines/>
              <w:jc w:val="right"/>
            </w:pPr>
            <w:r w:rsidRPr="00CE0A31">
              <w:t>3.4</w:t>
            </w:r>
          </w:p>
        </w:tc>
        <w:tc>
          <w:tcPr>
            <w:tcW w:w="1422" w:type="dxa"/>
            <w:vAlign w:val="bottom"/>
          </w:tcPr>
          <w:p w14:paraId="41845543" w14:textId="5ED1A89B" w:rsidR="009E1DDE" w:rsidRPr="00716EDB" w:rsidRDefault="009E1DDE" w:rsidP="00B21316">
            <w:pPr>
              <w:pStyle w:val="Tabletext"/>
              <w:keepNext/>
              <w:keepLines/>
              <w:jc w:val="right"/>
            </w:pPr>
            <w:r w:rsidRPr="00CE0A31">
              <w:t>–</w:t>
            </w:r>
          </w:p>
        </w:tc>
        <w:tc>
          <w:tcPr>
            <w:tcW w:w="1133" w:type="dxa"/>
            <w:vAlign w:val="bottom"/>
          </w:tcPr>
          <w:p w14:paraId="0CC7D18C" w14:textId="2C3E2943" w:rsidR="009E1DDE" w:rsidRPr="00716EDB" w:rsidRDefault="009E1DDE" w:rsidP="00B21316">
            <w:pPr>
              <w:pStyle w:val="Tabletext"/>
              <w:keepNext/>
              <w:keepLines/>
              <w:jc w:val="right"/>
            </w:pPr>
            <w:r w:rsidRPr="00CE0A31">
              <w:t>30.5</w:t>
            </w:r>
          </w:p>
        </w:tc>
      </w:tr>
      <w:tr w:rsidR="009E1DDE" w:rsidRPr="004B1601" w14:paraId="51FFF2E6" w14:textId="77777777" w:rsidTr="00F867FC">
        <w:tc>
          <w:tcPr>
            <w:tcW w:w="3261" w:type="dxa"/>
          </w:tcPr>
          <w:p w14:paraId="37AB7E33" w14:textId="17E8D89E" w:rsidR="009E1DDE" w:rsidRPr="004B1601" w:rsidRDefault="009E1DDE" w:rsidP="00F867FC">
            <w:pPr>
              <w:pStyle w:val="Tabletext"/>
              <w:keepNext/>
              <w:keepLines/>
            </w:pPr>
            <w:r w:rsidRPr="00CE0A31">
              <w:t>Disposals</w:t>
            </w:r>
          </w:p>
        </w:tc>
        <w:tc>
          <w:tcPr>
            <w:tcW w:w="1134" w:type="dxa"/>
            <w:vAlign w:val="bottom"/>
          </w:tcPr>
          <w:p w14:paraId="4FBE9DE4" w14:textId="0DDD1794" w:rsidR="009E1DDE" w:rsidRPr="004B1601" w:rsidRDefault="009E1DDE" w:rsidP="00B21316">
            <w:pPr>
              <w:pStyle w:val="Tabletext"/>
              <w:keepNext/>
              <w:keepLines/>
              <w:jc w:val="right"/>
            </w:pPr>
            <w:r w:rsidRPr="00CE0A31">
              <w:t>(0.2)</w:t>
            </w:r>
          </w:p>
        </w:tc>
        <w:tc>
          <w:tcPr>
            <w:tcW w:w="1134" w:type="dxa"/>
            <w:vAlign w:val="bottom"/>
          </w:tcPr>
          <w:p w14:paraId="5EBC026D" w14:textId="6C0FCD4B" w:rsidR="009E1DDE" w:rsidRPr="004B1601" w:rsidRDefault="009E1DDE" w:rsidP="00B21316">
            <w:pPr>
              <w:pStyle w:val="Tabletext"/>
              <w:keepNext/>
              <w:keepLines/>
              <w:jc w:val="right"/>
            </w:pPr>
            <w:r w:rsidRPr="00CE0A31">
              <w:t>(17.4)</w:t>
            </w:r>
          </w:p>
        </w:tc>
        <w:tc>
          <w:tcPr>
            <w:tcW w:w="988" w:type="dxa"/>
            <w:vAlign w:val="bottom"/>
          </w:tcPr>
          <w:p w14:paraId="6DB5FE30" w14:textId="7FB5C2CD" w:rsidR="009E1DDE" w:rsidRPr="004B1601" w:rsidRDefault="009E1DDE" w:rsidP="00B21316">
            <w:pPr>
              <w:pStyle w:val="Tabletext"/>
              <w:keepNext/>
              <w:keepLines/>
              <w:jc w:val="right"/>
            </w:pPr>
            <w:r w:rsidRPr="00CE0A31">
              <w:t>(7.3)</w:t>
            </w:r>
          </w:p>
        </w:tc>
        <w:tc>
          <w:tcPr>
            <w:tcW w:w="1422" w:type="dxa"/>
            <w:vAlign w:val="bottom"/>
          </w:tcPr>
          <w:p w14:paraId="79E57B88" w14:textId="2870A964" w:rsidR="009E1DDE" w:rsidRPr="004B1601" w:rsidRDefault="009E1DDE" w:rsidP="00B21316">
            <w:pPr>
              <w:pStyle w:val="Tabletext"/>
              <w:keepNext/>
              <w:keepLines/>
              <w:jc w:val="right"/>
            </w:pPr>
            <w:r w:rsidRPr="00CE0A31">
              <w:t>–</w:t>
            </w:r>
          </w:p>
        </w:tc>
        <w:tc>
          <w:tcPr>
            <w:tcW w:w="1133" w:type="dxa"/>
            <w:vAlign w:val="bottom"/>
          </w:tcPr>
          <w:p w14:paraId="73C11999" w14:textId="177BD155" w:rsidR="009E1DDE" w:rsidRPr="004B1601" w:rsidRDefault="009E1DDE" w:rsidP="00B21316">
            <w:pPr>
              <w:pStyle w:val="Tabletext"/>
              <w:keepNext/>
              <w:keepLines/>
              <w:jc w:val="right"/>
            </w:pPr>
            <w:r w:rsidRPr="00CE0A31">
              <w:t>(24.9)</w:t>
            </w:r>
          </w:p>
        </w:tc>
      </w:tr>
      <w:tr w:rsidR="009E1DDE" w:rsidRPr="004B1601" w14:paraId="168199D6" w14:textId="77777777" w:rsidTr="00F867FC">
        <w:tc>
          <w:tcPr>
            <w:tcW w:w="3261" w:type="dxa"/>
            <w:tcBorders>
              <w:bottom w:val="single" w:sz="4" w:space="0" w:color="93B7BB"/>
            </w:tcBorders>
          </w:tcPr>
          <w:p w14:paraId="688F50BD" w14:textId="0AC67DD3" w:rsidR="009E1DDE" w:rsidRPr="004B1601" w:rsidRDefault="009E1DDE" w:rsidP="00F867FC">
            <w:pPr>
              <w:pStyle w:val="Tabletext"/>
              <w:keepNext/>
              <w:keepLines/>
            </w:pPr>
            <w:r w:rsidRPr="00CE0A31">
              <w:t>Transfers</w:t>
            </w:r>
          </w:p>
        </w:tc>
        <w:tc>
          <w:tcPr>
            <w:tcW w:w="1134" w:type="dxa"/>
            <w:tcBorders>
              <w:bottom w:val="single" w:sz="4" w:space="0" w:color="93B7BB"/>
            </w:tcBorders>
            <w:vAlign w:val="bottom"/>
          </w:tcPr>
          <w:p w14:paraId="2F2F69C6" w14:textId="06E8CAC8" w:rsidR="009E1DDE" w:rsidRPr="004B1601" w:rsidRDefault="009E1DDE" w:rsidP="00B21316">
            <w:pPr>
              <w:pStyle w:val="Tabletext"/>
              <w:keepNext/>
              <w:keepLines/>
              <w:jc w:val="right"/>
            </w:pPr>
            <w:r w:rsidRPr="00CE0A31">
              <w:t>6.1</w:t>
            </w:r>
          </w:p>
        </w:tc>
        <w:tc>
          <w:tcPr>
            <w:tcW w:w="1134" w:type="dxa"/>
            <w:tcBorders>
              <w:bottom w:val="single" w:sz="4" w:space="0" w:color="93B7BB"/>
            </w:tcBorders>
            <w:vAlign w:val="bottom"/>
          </w:tcPr>
          <w:p w14:paraId="48F9944A" w14:textId="4D149644" w:rsidR="009E1DDE" w:rsidRPr="004B1601" w:rsidRDefault="009E1DDE" w:rsidP="00B21316">
            <w:pPr>
              <w:pStyle w:val="Tabletext"/>
              <w:keepNext/>
              <w:keepLines/>
              <w:jc w:val="right"/>
            </w:pPr>
            <w:r w:rsidRPr="00CE0A31">
              <w:t>–</w:t>
            </w:r>
          </w:p>
        </w:tc>
        <w:tc>
          <w:tcPr>
            <w:tcW w:w="988" w:type="dxa"/>
            <w:tcBorders>
              <w:bottom w:val="single" w:sz="4" w:space="0" w:color="93B7BB"/>
            </w:tcBorders>
            <w:vAlign w:val="bottom"/>
          </w:tcPr>
          <w:p w14:paraId="29BAC00A" w14:textId="02902F64" w:rsidR="009E1DDE" w:rsidRPr="004B1601" w:rsidRDefault="009E1DDE" w:rsidP="00B21316">
            <w:pPr>
              <w:pStyle w:val="Tabletext"/>
              <w:keepNext/>
              <w:keepLines/>
              <w:jc w:val="right"/>
            </w:pPr>
            <w:r w:rsidRPr="00CE0A31">
              <w:t>0.1</w:t>
            </w:r>
          </w:p>
        </w:tc>
        <w:tc>
          <w:tcPr>
            <w:tcW w:w="1422" w:type="dxa"/>
            <w:tcBorders>
              <w:bottom w:val="single" w:sz="4" w:space="0" w:color="93B7BB"/>
            </w:tcBorders>
            <w:vAlign w:val="bottom"/>
          </w:tcPr>
          <w:p w14:paraId="7C65FB59" w14:textId="19890E94" w:rsidR="009E1DDE" w:rsidRPr="004B1601" w:rsidRDefault="009E1DDE" w:rsidP="00B21316">
            <w:pPr>
              <w:pStyle w:val="Tabletext"/>
              <w:keepNext/>
              <w:keepLines/>
              <w:jc w:val="right"/>
            </w:pPr>
            <w:r w:rsidRPr="00CE0A31">
              <w:t>(6.2)</w:t>
            </w:r>
          </w:p>
        </w:tc>
        <w:tc>
          <w:tcPr>
            <w:tcW w:w="1133" w:type="dxa"/>
            <w:tcBorders>
              <w:bottom w:val="single" w:sz="4" w:space="0" w:color="93B7BB"/>
            </w:tcBorders>
            <w:vAlign w:val="bottom"/>
          </w:tcPr>
          <w:p w14:paraId="6F687C9E" w14:textId="5452FD96" w:rsidR="009E1DDE" w:rsidRPr="004B1601" w:rsidRDefault="009E1DDE" w:rsidP="00B21316">
            <w:pPr>
              <w:pStyle w:val="Tabletext"/>
              <w:keepNext/>
              <w:keepLines/>
              <w:jc w:val="right"/>
            </w:pPr>
            <w:r w:rsidRPr="00CE0A31">
              <w:t>–</w:t>
            </w:r>
          </w:p>
        </w:tc>
      </w:tr>
      <w:tr w:rsidR="009E1DDE" w:rsidRPr="004B1601" w14:paraId="5D19A118" w14:textId="77777777" w:rsidTr="00F867FC">
        <w:tc>
          <w:tcPr>
            <w:tcW w:w="3261" w:type="dxa"/>
            <w:vAlign w:val="center"/>
          </w:tcPr>
          <w:p w14:paraId="1EFF7705" w14:textId="20A68C01" w:rsidR="009E1DDE" w:rsidRPr="004B1601" w:rsidRDefault="009E1DDE" w:rsidP="00F867FC">
            <w:pPr>
              <w:pStyle w:val="Tabletext"/>
            </w:pPr>
            <w:r w:rsidRPr="004B1601">
              <w:rPr>
                <w:lang w:val="en-US" w:eastAsia="nl-NL"/>
              </w:rPr>
              <w:t>At 1 January 201</w:t>
            </w:r>
            <w:r>
              <w:rPr>
                <w:lang w:val="en-US" w:eastAsia="nl-NL"/>
              </w:rPr>
              <w:t>5</w:t>
            </w:r>
          </w:p>
        </w:tc>
        <w:tc>
          <w:tcPr>
            <w:tcW w:w="1134" w:type="dxa"/>
            <w:vAlign w:val="bottom"/>
          </w:tcPr>
          <w:p w14:paraId="2B11672D" w14:textId="509534E1" w:rsidR="009E1DDE" w:rsidRPr="004B1601" w:rsidRDefault="009E1DDE" w:rsidP="00F43B10">
            <w:pPr>
              <w:pStyle w:val="Tabletext"/>
              <w:jc w:val="right"/>
            </w:pPr>
            <w:r>
              <w:t>623.9</w:t>
            </w:r>
          </w:p>
        </w:tc>
        <w:tc>
          <w:tcPr>
            <w:tcW w:w="1134" w:type="dxa"/>
            <w:vAlign w:val="bottom"/>
          </w:tcPr>
          <w:p w14:paraId="55AFE79D" w14:textId="4D731978" w:rsidR="009E1DDE" w:rsidRPr="004B1601" w:rsidRDefault="009E1DDE" w:rsidP="00F43B10">
            <w:pPr>
              <w:pStyle w:val="Tabletext"/>
              <w:jc w:val="right"/>
            </w:pPr>
            <w:r>
              <w:t>1</w:t>
            </w:r>
            <w:r w:rsidRPr="00716EDB">
              <w:t>7</w:t>
            </w:r>
            <w:r>
              <w:t>4</w:t>
            </w:r>
            <w:r w:rsidRPr="00716EDB">
              <w:t>.</w:t>
            </w:r>
            <w:r>
              <w:t>0</w:t>
            </w:r>
          </w:p>
        </w:tc>
        <w:tc>
          <w:tcPr>
            <w:tcW w:w="988" w:type="dxa"/>
            <w:vAlign w:val="bottom"/>
          </w:tcPr>
          <w:p w14:paraId="585549B3" w14:textId="7A35454F" w:rsidR="009E1DDE" w:rsidRPr="004B1601" w:rsidRDefault="009E1DDE" w:rsidP="00F43B10">
            <w:pPr>
              <w:pStyle w:val="Tabletext"/>
              <w:jc w:val="right"/>
            </w:pPr>
            <w:r>
              <w:t>263.1</w:t>
            </w:r>
          </w:p>
        </w:tc>
        <w:tc>
          <w:tcPr>
            <w:tcW w:w="1422" w:type="dxa"/>
            <w:vAlign w:val="bottom"/>
          </w:tcPr>
          <w:p w14:paraId="5AF945CC" w14:textId="667DF213" w:rsidR="009E1DDE" w:rsidRPr="004B1601" w:rsidRDefault="009E1DDE" w:rsidP="00F43B10">
            <w:pPr>
              <w:pStyle w:val="Tabletext"/>
              <w:jc w:val="right"/>
            </w:pPr>
            <w:r>
              <w:t>1.4</w:t>
            </w:r>
          </w:p>
        </w:tc>
        <w:tc>
          <w:tcPr>
            <w:tcW w:w="1133" w:type="dxa"/>
            <w:vAlign w:val="bottom"/>
          </w:tcPr>
          <w:p w14:paraId="27F780EC" w14:textId="15C73EAA" w:rsidR="009E1DDE" w:rsidRPr="004B1601" w:rsidRDefault="009E1DDE" w:rsidP="00F43B10">
            <w:pPr>
              <w:pStyle w:val="Tabletext"/>
              <w:jc w:val="right"/>
            </w:pPr>
            <w:r>
              <w:t>1,</w:t>
            </w:r>
            <w:r w:rsidRPr="00716EDB">
              <w:t>0</w:t>
            </w:r>
            <w:r>
              <w:t>62</w:t>
            </w:r>
            <w:r w:rsidRPr="00716EDB">
              <w:t>.</w:t>
            </w:r>
            <w:r>
              <w:t>4</w:t>
            </w:r>
          </w:p>
        </w:tc>
      </w:tr>
      <w:tr w:rsidR="009E1DDE" w:rsidRPr="004B1601" w14:paraId="2FA9A0D5" w14:textId="77777777" w:rsidTr="00F867FC">
        <w:tc>
          <w:tcPr>
            <w:tcW w:w="3261" w:type="dxa"/>
          </w:tcPr>
          <w:p w14:paraId="06B61F19" w14:textId="7F2DD34B" w:rsidR="009E1DDE" w:rsidRPr="004B1601" w:rsidRDefault="009E1DDE" w:rsidP="00F867FC">
            <w:pPr>
              <w:pStyle w:val="Tabletext"/>
            </w:pPr>
            <w:r w:rsidRPr="00CE0A31">
              <w:t>Additions</w:t>
            </w:r>
          </w:p>
        </w:tc>
        <w:tc>
          <w:tcPr>
            <w:tcW w:w="1134" w:type="dxa"/>
            <w:vAlign w:val="bottom"/>
          </w:tcPr>
          <w:p w14:paraId="3A92F003" w14:textId="6A93ACAA" w:rsidR="009E1DDE" w:rsidRPr="004B1601" w:rsidRDefault="00E746E4" w:rsidP="00B21316">
            <w:pPr>
              <w:pStyle w:val="Tabletext"/>
              <w:jc w:val="right"/>
            </w:pPr>
            <w:r>
              <w:t>21.8</w:t>
            </w:r>
          </w:p>
        </w:tc>
        <w:tc>
          <w:tcPr>
            <w:tcW w:w="1134" w:type="dxa"/>
            <w:vAlign w:val="bottom"/>
          </w:tcPr>
          <w:p w14:paraId="320E742A" w14:textId="3E53E4F4" w:rsidR="009E1DDE" w:rsidRPr="004B1601" w:rsidRDefault="00E746E4" w:rsidP="00B21316">
            <w:pPr>
              <w:pStyle w:val="Tabletext"/>
              <w:jc w:val="right"/>
            </w:pPr>
            <w:r>
              <w:t>13.5</w:t>
            </w:r>
          </w:p>
        </w:tc>
        <w:tc>
          <w:tcPr>
            <w:tcW w:w="988" w:type="dxa"/>
            <w:vAlign w:val="bottom"/>
          </w:tcPr>
          <w:p w14:paraId="6F8B3743" w14:textId="33832D66" w:rsidR="009E1DDE" w:rsidRPr="004B1601" w:rsidRDefault="00E746E4" w:rsidP="00B21316">
            <w:pPr>
              <w:pStyle w:val="Tabletext"/>
              <w:jc w:val="right"/>
            </w:pPr>
            <w:r>
              <w:t>37.4</w:t>
            </w:r>
          </w:p>
        </w:tc>
        <w:tc>
          <w:tcPr>
            <w:tcW w:w="1422" w:type="dxa"/>
            <w:vAlign w:val="bottom"/>
          </w:tcPr>
          <w:p w14:paraId="4AD3F488" w14:textId="4A7163D7" w:rsidR="009E1DDE" w:rsidRPr="004B1601" w:rsidRDefault="00E746E4" w:rsidP="00B21316">
            <w:pPr>
              <w:pStyle w:val="Tabletext"/>
              <w:jc w:val="right"/>
            </w:pPr>
            <w:r>
              <w:t>37.1</w:t>
            </w:r>
          </w:p>
        </w:tc>
        <w:tc>
          <w:tcPr>
            <w:tcW w:w="1133" w:type="dxa"/>
            <w:vAlign w:val="bottom"/>
          </w:tcPr>
          <w:p w14:paraId="4058F486" w14:textId="7B101B60" w:rsidR="009E1DDE" w:rsidRPr="004B1601" w:rsidRDefault="00E746E4" w:rsidP="00B21316">
            <w:pPr>
              <w:pStyle w:val="Tabletext"/>
              <w:jc w:val="right"/>
            </w:pPr>
            <w:r>
              <w:t>109.8</w:t>
            </w:r>
          </w:p>
        </w:tc>
      </w:tr>
      <w:tr w:rsidR="009E1DDE" w:rsidRPr="004B1601" w14:paraId="19591339" w14:textId="77777777" w:rsidTr="00F867FC">
        <w:tc>
          <w:tcPr>
            <w:tcW w:w="3261" w:type="dxa"/>
          </w:tcPr>
          <w:p w14:paraId="077DFB2D" w14:textId="25096A06" w:rsidR="009E1DDE" w:rsidRPr="004B1601" w:rsidRDefault="009E1DDE" w:rsidP="00F867FC">
            <w:pPr>
              <w:pStyle w:val="Tabletext"/>
            </w:pPr>
            <w:r w:rsidRPr="00CE0A31">
              <w:t>Disposals</w:t>
            </w:r>
          </w:p>
        </w:tc>
        <w:tc>
          <w:tcPr>
            <w:tcW w:w="1134" w:type="dxa"/>
            <w:vAlign w:val="bottom"/>
          </w:tcPr>
          <w:p w14:paraId="7CD1351B" w14:textId="27458A36" w:rsidR="009E1DDE" w:rsidRPr="004B1601" w:rsidRDefault="00E746E4" w:rsidP="00B21316">
            <w:pPr>
              <w:pStyle w:val="Tabletext"/>
              <w:jc w:val="right"/>
            </w:pPr>
            <w:r w:rsidRPr="00CE0A31">
              <w:t>–</w:t>
            </w:r>
          </w:p>
        </w:tc>
        <w:tc>
          <w:tcPr>
            <w:tcW w:w="1134" w:type="dxa"/>
            <w:vAlign w:val="bottom"/>
          </w:tcPr>
          <w:p w14:paraId="00EF4B97" w14:textId="2A864008" w:rsidR="009E1DDE" w:rsidRPr="004B1601" w:rsidRDefault="00E746E4" w:rsidP="00B21316">
            <w:pPr>
              <w:pStyle w:val="Tabletext"/>
              <w:jc w:val="right"/>
            </w:pPr>
            <w:r>
              <w:t>(0.7)</w:t>
            </w:r>
          </w:p>
        </w:tc>
        <w:tc>
          <w:tcPr>
            <w:tcW w:w="988" w:type="dxa"/>
            <w:vAlign w:val="bottom"/>
          </w:tcPr>
          <w:p w14:paraId="7733A037" w14:textId="53811A11" w:rsidR="009E1DDE" w:rsidRPr="004B1601" w:rsidRDefault="00865CCB" w:rsidP="00B21316">
            <w:pPr>
              <w:pStyle w:val="Tabletext"/>
              <w:jc w:val="right"/>
            </w:pPr>
            <w:r>
              <w:t>(2.2)</w:t>
            </w:r>
          </w:p>
        </w:tc>
        <w:tc>
          <w:tcPr>
            <w:tcW w:w="1422" w:type="dxa"/>
            <w:vAlign w:val="bottom"/>
          </w:tcPr>
          <w:p w14:paraId="12965F50" w14:textId="01ABE85C" w:rsidR="009E1DDE" w:rsidRPr="004B1601" w:rsidRDefault="00865CCB" w:rsidP="00B21316">
            <w:pPr>
              <w:pStyle w:val="Tabletext"/>
              <w:jc w:val="right"/>
            </w:pPr>
            <w:r w:rsidRPr="00CE0A31">
              <w:t>–</w:t>
            </w:r>
          </w:p>
        </w:tc>
        <w:tc>
          <w:tcPr>
            <w:tcW w:w="1133" w:type="dxa"/>
            <w:vAlign w:val="bottom"/>
          </w:tcPr>
          <w:p w14:paraId="2DD32C59" w14:textId="330A6DA8" w:rsidR="009E1DDE" w:rsidRPr="004B1601" w:rsidRDefault="00865CCB" w:rsidP="00B21316">
            <w:pPr>
              <w:pStyle w:val="Tabletext"/>
              <w:jc w:val="right"/>
            </w:pPr>
            <w:r>
              <w:t>(2.9)</w:t>
            </w:r>
          </w:p>
        </w:tc>
      </w:tr>
      <w:tr w:rsidR="009E1DDE" w:rsidRPr="004B1601" w14:paraId="77444ED4" w14:textId="77777777" w:rsidTr="00F867FC">
        <w:tc>
          <w:tcPr>
            <w:tcW w:w="3261" w:type="dxa"/>
            <w:tcBorders>
              <w:bottom w:val="single" w:sz="4" w:space="0" w:color="93B7BB"/>
            </w:tcBorders>
          </w:tcPr>
          <w:p w14:paraId="71B0F9D4" w14:textId="1E393BA9" w:rsidR="009E1DDE" w:rsidRPr="004B1601" w:rsidRDefault="00E746E4" w:rsidP="00F867FC">
            <w:pPr>
              <w:pStyle w:val="Tabletext"/>
            </w:pPr>
            <w:r>
              <w:t xml:space="preserve">Reclassification </w:t>
            </w:r>
          </w:p>
        </w:tc>
        <w:tc>
          <w:tcPr>
            <w:tcW w:w="1134" w:type="dxa"/>
            <w:tcBorders>
              <w:bottom w:val="single" w:sz="4" w:space="0" w:color="93B7BB"/>
            </w:tcBorders>
            <w:vAlign w:val="bottom"/>
          </w:tcPr>
          <w:p w14:paraId="4F2EECD2" w14:textId="44E6041E" w:rsidR="009E1DDE" w:rsidRPr="004B1601" w:rsidRDefault="00E746E4" w:rsidP="00B21316">
            <w:pPr>
              <w:pStyle w:val="Tabletext"/>
              <w:jc w:val="right"/>
            </w:pPr>
            <w:r>
              <w:t>(0.7)</w:t>
            </w:r>
          </w:p>
        </w:tc>
        <w:tc>
          <w:tcPr>
            <w:tcW w:w="1134" w:type="dxa"/>
            <w:tcBorders>
              <w:bottom w:val="single" w:sz="4" w:space="0" w:color="93B7BB"/>
            </w:tcBorders>
            <w:vAlign w:val="bottom"/>
          </w:tcPr>
          <w:p w14:paraId="564001C4" w14:textId="0B72F080" w:rsidR="009E1DDE" w:rsidRPr="004B1601" w:rsidRDefault="00865CCB" w:rsidP="00B21316">
            <w:pPr>
              <w:pStyle w:val="Tabletext"/>
              <w:jc w:val="right"/>
            </w:pPr>
            <w:r w:rsidRPr="00CE0A31">
              <w:t>–</w:t>
            </w:r>
          </w:p>
        </w:tc>
        <w:tc>
          <w:tcPr>
            <w:tcW w:w="988" w:type="dxa"/>
            <w:tcBorders>
              <w:bottom w:val="single" w:sz="4" w:space="0" w:color="93B7BB"/>
            </w:tcBorders>
            <w:vAlign w:val="bottom"/>
          </w:tcPr>
          <w:p w14:paraId="70908EFF" w14:textId="1AD1E787" w:rsidR="009E1DDE" w:rsidRPr="004B1601" w:rsidRDefault="00865CCB" w:rsidP="00B21316">
            <w:pPr>
              <w:pStyle w:val="Tabletext"/>
              <w:jc w:val="right"/>
            </w:pPr>
            <w:r>
              <w:t>0.6</w:t>
            </w:r>
          </w:p>
        </w:tc>
        <w:tc>
          <w:tcPr>
            <w:tcW w:w="1422" w:type="dxa"/>
            <w:tcBorders>
              <w:bottom w:val="single" w:sz="4" w:space="0" w:color="93B7BB"/>
            </w:tcBorders>
            <w:vAlign w:val="bottom"/>
          </w:tcPr>
          <w:p w14:paraId="74CAC1D2" w14:textId="3AFDBB62" w:rsidR="009E1DDE" w:rsidRPr="004B1601" w:rsidRDefault="00865CCB" w:rsidP="00B21316">
            <w:pPr>
              <w:pStyle w:val="Tabletext"/>
              <w:jc w:val="right"/>
            </w:pPr>
            <w:r>
              <w:t>0.1</w:t>
            </w:r>
          </w:p>
        </w:tc>
        <w:tc>
          <w:tcPr>
            <w:tcW w:w="1133" w:type="dxa"/>
            <w:tcBorders>
              <w:bottom w:val="single" w:sz="4" w:space="0" w:color="93B7BB"/>
            </w:tcBorders>
            <w:vAlign w:val="bottom"/>
          </w:tcPr>
          <w:p w14:paraId="217A98CA" w14:textId="321D825A" w:rsidR="009E1DDE" w:rsidRPr="004B1601" w:rsidRDefault="00865CCB" w:rsidP="00B21316">
            <w:pPr>
              <w:pStyle w:val="Tabletext"/>
              <w:jc w:val="right"/>
            </w:pPr>
            <w:r w:rsidRPr="00CE0A31">
              <w:t>–</w:t>
            </w:r>
          </w:p>
        </w:tc>
      </w:tr>
      <w:tr w:rsidR="009E1DDE" w:rsidRPr="00716EDB" w14:paraId="3F6FA81C" w14:textId="77777777" w:rsidTr="00AD432A">
        <w:tc>
          <w:tcPr>
            <w:tcW w:w="3261" w:type="dxa"/>
            <w:tcBorders>
              <w:top w:val="single" w:sz="4" w:space="0" w:color="93B7BB"/>
              <w:bottom w:val="single" w:sz="4" w:space="0" w:color="93B7BB"/>
            </w:tcBorders>
            <w:vAlign w:val="center"/>
          </w:tcPr>
          <w:p w14:paraId="609ACA06" w14:textId="6BA1BE0B" w:rsidR="009E1DDE" w:rsidRPr="006D1B0B" w:rsidRDefault="009E1DDE" w:rsidP="00F867FC">
            <w:pPr>
              <w:pStyle w:val="Tabletext"/>
              <w:keepNext/>
              <w:keepLines/>
              <w:rPr>
                <w:b/>
              </w:rPr>
            </w:pPr>
            <w:r>
              <w:rPr>
                <w:b/>
                <w:lang w:val="en-US" w:eastAsia="nl-NL"/>
              </w:rPr>
              <w:t>A</w:t>
            </w:r>
            <w:r w:rsidRPr="0015087B">
              <w:rPr>
                <w:b/>
                <w:lang w:val="en-US" w:eastAsia="nl-NL"/>
              </w:rPr>
              <w:t xml:space="preserve">t </w:t>
            </w:r>
            <w:r>
              <w:rPr>
                <w:b/>
                <w:lang w:val="en-US" w:eastAsia="nl-NL"/>
              </w:rPr>
              <w:t>3</w:t>
            </w:r>
            <w:r w:rsidRPr="0015087B">
              <w:rPr>
                <w:b/>
                <w:lang w:val="en-US" w:eastAsia="nl-NL"/>
              </w:rPr>
              <w:t xml:space="preserve">1 </w:t>
            </w:r>
            <w:r>
              <w:rPr>
                <w:b/>
                <w:lang w:val="en-US" w:eastAsia="nl-NL"/>
              </w:rPr>
              <w:t xml:space="preserve">December </w:t>
            </w:r>
            <w:r w:rsidRPr="0015087B">
              <w:rPr>
                <w:b/>
                <w:lang w:val="en-US" w:eastAsia="nl-NL"/>
              </w:rPr>
              <w:t>201</w:t>
            </w:r>
            <w:r>
              <w:rPr>
                <w:b/>
                <w:lang w:val="en-US" w:eastAsia="nl-NL"/>
              </w:rPr>
              <w:t>5</w:t>
            </w:r>
          </w:p>
        </w:tc>
        <w:tc>
          <w:tcPr>
            <w:tcW w:w="1134" w:type="dxa"/>
            <w:tcBorders>
              <w:top w:val="single" w:sz="4" w:space="0" w:color="93B7BB"/>
              <w:bottom w:val="single" w:sz="4" w:space="0" w:color="93B7BB"/>
            </w:tcBorders>
            <w:vAlign w:val="bottom"/>
          </w:tcPr>
          <w:p w14:paraId="50060DB0" w14:textId="311E72A4" w:rsidR="009E1DDE" w:rsidRPr="006D1B0B" w:rsidRDefault="00865CCB" w:rsidP="00B21316">
            <w:pPr>
              <w:pStyle w:val="Tabletext"/>
              <w:keepNext/>
              <w:keepLines/>
              <w:jc w:val="right"/>
              <w:rPr>
                <w:b/>
              </w:rPr>
            </w:pPr>
            <w:r>
              <w:rPr>
                <w:b/>
              </w:rPr>
              <w:t>645.0</w:t>
            </w:r>
          </w:p>
        </w:tc>
        <w:tc>
          <w:tcPr>
            <w:tcW w:w="1134" w:type="dxa"/>
            <w:tcBorders>
              <w:top w:val="single" w:sz="4" w:space="0" w:color="93B7BB"/>
              <w:bottom w:val="single" w:sz="4" w:space="0" w:color="93B7BB"/>
            </w:tcBorders>
            <w:vAlign w:val="bottom"/>
          </w:tcPr>
          <w:p w14:paraId="1347EBA9" w14:textId="7820BD0A" w:rsidR="009E1DDE" w:rsidRPr="006D1B0B" w:rsidRDefault="00865CCB" w:rsidP="00B21316">
            <w:pPr>
              <w:pStyle w:val="Tabletext"/>
              <w:keepNext/>
              <w:keepLines/>
              <w:jc w:val="right"/>
              <w:rPr>
                <w:b/>
              </w:rPr>
            </w:pPr>
            <w:r>
              <w:rPr>
                <w:b/>
              </w:rPr>
              <w:t>186.8</w:t>
            </w:r>
          </w:p>
        </w:tc>
        <w:tc>
          <w:tcPr>
            <w:tcW w:w="988" w:type="dxa"/>
            <w:tcBorders>
              <w:top w:val="single" w:sz="4" w:space="0" w:color="93B7BB"/>
              <w:bottom w:val="single" w:sz="4" w:space="0" w:color="93B7BB"/>
            </w:tcBorders>
            <w:vAlign w:val="bottom"/>
          </w:tcPr>
          <w:p w14:paraId="49287A40" w14:textId="1B012311" w:rsidR="009E1DDE" w:rsidRPr="006D1B0B" w:rsidRDefault="00865CCB" w:rsidP="00B21316">
            <w:pPr>
              <w:pStyle w:val="Tabletext"/>
              <w:keepNext/>
              <w:keepLines/>
              <w:jc w:val="right"/>
              <w:rPr>
                <w:b/>
              </w:rPr>
            </w:pPr>
            <w:r>
              <w:rPr>
                <w:b/>
              </w:rPr>
              <w:t>298.9</w:t>
            </w:r>
          </w:p>
        </w:tc>
        <w:tc>
          <w:tcPr>
            <w:tcW w:w="1422" w:type="dxa"/>
            <w:tcBorders>
              <w:top w:val="single" w:sz="4" w:space="0" w:color="93B7BB"/>
              <w:bottom w:val="single" w:sz="4" w:space="0" w:color="93B7BB"/>
            </w:tcBorders>
            <w:vAlign w:val="bottom"/>
          </w:tcPr>
          <w:p w14:paraId="30E6CA82" w14:textId="15AB1586" w:rsidR="009E1DDE" w:rsidRPr="006D1B0B" w:rsidRDefault="00865CCB" w:rsidP="00B21316">
            <w:pPr>
              <w:pStyle w:val="Tabletext"/>
              <w:keepNext/>
              <w:keepLines/>
              <w:jc w:val="right"/>
              <w:rPr>
                <w:b/>
              </w:rPr>
            </w:pPr>
            <w:r>
              <w:rPr>
                <w:b/>
              </w:rPr>
              <w:t>38.6</w:t>
            </w:r>
          </w:p>
        </w:tc>
        <w:tc>
          <w:tcPr>
            <w:tcW w:w="1133" w:type="dxa"/>
            <w:tcBorders>
              <w:top w:val="single" w:sz="4" w:space="0" w:color="93B7BB"/>
              <w:bottom w:val="single" w:sz="4" w:space="0" w:color="93B7BB"/>
            </w:tcBorders>
            <w:vAlign w:val="bottom"/>
          </w:tcPr>
          <w:p w14:paraId="20F3AE3A" w14:textId="5F65810E" w:rsidR="009E1DDE" w:rsidRPr="006D1B0B" w:rsidRDefault="00865CCB" w:rsidP="00B21316">
            <w:pPr>
              <w:pStyle w:val="Tabletext"/>
              <w:keepNext/>
              <w:keepLines/>
              <w:jc w:val="right"/>
              <w:rPr>
                <w:b/>
              </w:rPr>
            </w:pPr>
            <w:r>
              <w:rPr>
                <w:b/>
              </w:rPr>
              <w:t>1,169.3</w:t>
            </w:r>
          </w:p>
        </w:tc>
      </w:tr>
      <w:tr w:rsidR="00AD432A" w:rsidRPr="00716EDB" w14:paraId="73FD6289" w14:textId="77777777" w:rsidTr="00AD432A">
        <w:tc>
          <w:tcPr>
            <w:tcW w:w="3261" w:type="dxa"/>
            <w:tcBorders>
              <w:top w:val="single" w:sz="4" w:space="0" w:color="93B7BB"/>
            </w:tcBorders>
            <w:vAlign w:val="center"/>
          </w:tcPr>
          <w:p w14:paraId="2E6B16E6" w14:textId="77777777" w:rsidR="00AD432A" w:rsidRPr="00520CBD" w:rsidRDefault="00AD432A" w:rsidP="00F867FC">
            <w:pPr>
              <w:pStyle w:val="Tabletext"/>
              <w:keepNext/>
              <w:keepLines/>
              <w:rPr>
                <w:b/>
              </w:rPr>
            </w:pPr>
          </w:p>
        </w:tc>
        <w:tc>
          <w:tcPr>
            <w:tcW w:w="1134" w:type="dxa"/>
            <w:tcBorders>
              <w:top w:val="single" w:sz="4" w:space="0" w:color="93B7BB"/>
            </w:tcBorders>
            <w:vAlign w:val="bottom"/>
          </w:tcPr>
          <w:p w14:paraId="5D5A432E" w14:textId="77777777" w:rsidR="00AD432A" w:rsidRPr="00451BD3" w:rsidRDefault="00AD432A" w:rsidP="00B21316">
            <w:pPr>
              <w:pStyle w:val="Tabletext"/>
              <w:keepNext/>
              <w:keepLines/>
              <w:jc w:val="right"/>
            </w:pPr>
          </w:p>
        </w:tc>
        <w:tc>
          <w:tcPr>
            <w:tcW w:w="1134" w:type="dxa"/>
            <w:tcBorders>
              <w:top w:val="single" w:sz="4" w:space="0" w:color="93B7BB"/>
            </w:tcBorders>
            <w:vAlign w:val="bottom"/>
          </w:tcPr>
          <w:p w14:paraId="6AD02AD4" w14:textId="77777777" w:rsidR="00AD432A" w:rsidRPr="00451BD3" w:rsidRDefault="00AD432A" w:rsidP="00B21316">
            <w:pPr>
              <w:pStyle w:val="Tabletext"/>
              <w:keepNext/>
              <w:keepLines/>
              <w:jc w:val="right"/>
            </w:pPr>
          </w:p>
        </w:tc>
        <w:tc>
          <w:tcPr>
            <w:tcW w:w="988" w:type="dxa"/>
            <w:tcBorders>
              <w:top w:val="single" w:sz="4" w:space="0" w:color="93B7BB"/>
            </w:tcBorders>
            <w:vAlign w:val="bottom"/>
          </w:tcPr>
          <w:p w14:paraId="4F07EF2A" w14:textId="77777777" w:rsidR="00AD432A" w:rsidRPr="00451BD3" w:rsidRDefault="00AD432A" w:rsidP="00B21316">
            <w:pPr>
              <w:pStyle w:val="Tabletext"/>
              <w:keepNext/>
              <w:keepLines/>
              <w:jc w:val="right"/>
            </w:pPr>
          </w:p>
        </w:tc>
        <w:tc>
          <w:tcPr>
            <w:tcW w:w="1422" w:type="dxa"/>
            <w:tcBorders>
              <w:top w:val="single" w:sz="4" w:space="0" w:color="93B7BB"/>
            </w:tcBorders>
            <w:vAlign w:val="bottom"/>
          </w:tcPr>
          <w:p w14:paraId="7E6F0AAD" w14:textId="77777777" w:rsidR="00AD432A" w:rsidRPr="00451BD3" w:rsidRDefault="00AD432A" w:rsidP="00B21316">
            <w:pPr>
              <w:pStyle w:val="Tabletext"/>
              <w:keepNext/>
              <w:keepLines/>
              <w:jc w:val="right"/>
            </w:pPr>
          </w:p>
        </w:tc>
        <w:tc>
          <w:tcPr>
            <w:tcW w:w="1133" w:type="dxa"/>
            <w:tcBorders>
              <w:top w:val="single" w:sz="4" w:space="0" w:color="93B7BB"/>
            </w:tcBorders>
            <w:vAlign w:val="bottom"/>
          </w:tcPr>
          <w:p w14:paraId="04F988AF" w14:textId="77777777" w:rsidR="00AD432A" w:rsidRPr="00716EDB" w:rsidRDefault="00AD432A" w:rsidP="00B21316">
            <w:pPr>
              <w:pStyle w:val="Tabletext"/>
              <w:keepNext/>
              <w:keepLines/>
              <w:jc w:val="right"/>
            </w:pPr>
          </w:p>
        </w:tc>
      </w:tr>
      <w:tr w:rsidR="009E1DDE" w:rsidRPr="00716EDB" w14:paraId="7ECE5CF4" w14:textId="77777777" w:rsidTr="00AD432A">
        <w:tc>
          <w:tcPr>
            <w:tcW w:w="3261" w:type="dxa"/>
            <w:tcBorders>
              <w:bottom w:val="single" w:sz="4" w:space="0" w:color="93B7BB"/>
            </w:tcBorders>
            <w:vAlign w:val="center"/>
          </w:tcPr>
          <w:p w14:paraId="0BCB1F02" w14:textId="2C2AF626" w:rsidR="009E1DDE" w:rsidRPr="00451BD3" w:rsidRDefault="009E1DDE" w:rsidP="00F867FC">
            <w:pPr>
              <w:pStyle w:val="Tabletext"/>
              <w:keepNext/>
              <w:keepLines/>
            </w:pPr>
            <w:r w:rsidRPr="00520CBD">
              <w:rPr>
                <w:b/>
              </w:rPr>
              <w:t>Depreciation</w:t>
            </w:r>
          </w:p>
        </w:tc>
        <w:tc>
          <w:tcPr>
            <w:tcW w:w="1134" w:type="dxa"/>
            <w:tcBorders>
              <w:bottom w:val="single" w:sz="4" w:space="0" w:color="93B7BB"/>
            </w:tcBorders>
            <w:vAlign w:val="bottom"/>
          </w:tcPr>
          <w:p w14:paraId="38D814C9" w14:textId="1817F5EF" w:rsidR="009E1DDE" w:rsidRPr="00451BD3" w:rsidRDefault="009E1DDE" w:rsidP="00B21316">
            <w:pPr>
              <w:pStyle w:val="Tabletext"/>
              <w:keepNext/>
              <w:keepLines/>
              <w:jc w:val="right"/>
            </w:pPr>
          </w:p>
        </w:tc>
        <w:tc>
          <w:tcPr>
            <w:tcW w:w="1134" w:type="dxa"/>
            <w:tcBorders>
              <w:bottom w:val="single" w:sz="4" w:space="0" w:color="93B7BB"/>
            </w:tcBorders>
            <w:vAlign w:val="bottom"/>
          </w:tcPr>
          <w:p w14:paraId="54A226AE" w14:textId="29FE33DA" w:rsidR="009E1DDE" w:rsidRPr="00451BD3" w:rsidRDefault="009E1DDE" w:rsidP="00B21316">
            <w:pPr>
              <w:pStyle w:val="Tabletext"/>
              <w:keepNext/>
              <w:keepLines/>
              <w:jc w:val="right"/>
            </w:pPr>
          </w:p>
        </w:tc>
        <w:tc>
          <w:tcPr>
            <w:tcW w:w="988" w:type="dxa"/>
            <w:tcBorders>
              <w:bottom w:val="single" w:sz="4" w:space="0" w:color="93B7BB"/>
            </w:tcBorders>
            <w:vAlign w:val="bottom"/>
          </w:tcPr>
          <w:p w14:paraId="6BB2BBDF" w14:textId="30D9AE3D" w:rsidR="009E1DDE" w:rsidRPr="00451BD3" w:rsidRDefault="009E1DDE" w:rsidP="00B21316">
            <w:pPr>
              <w:pStyle w:val="Tabletext"/>
              <w:keepNext/>
              <w:keepLines/>
              <w:jc w:val="right"/>
            </w:pPr>
          </w:p>
        </w:tc>
        <w:tc>
          <w:tcPr>
            <w:tcW w:w="1422" w:type="dxa"/>
            <w:tcBorders>
              <w:bottom w:val="single" w:sz="4" w:space="0" w:color="93B7BB"/>
            </w:tcBorders>
            <w:vAlign w:val="bottom"/>
          </w:tcPr>
          <w:p w14:paraId="42DE51F9" w14:textId="77777777" w:rsidR="009E1DDE" w:rsidRPr="00451BD3" w:rsidRDefault="009E1DDE" w:rsidP="00B21316">
            <w:pPr>
              <w:pStyle w:val="Tabletext"/>
              <w:keepNext/>
              <w:keepLines/>
              <w:jc w:val="right"/>
            </w:pPr>
          </w:p>
        </w:tc>
        <w:tc>
          <w:tcPr>
            <w:tcW w:w="1133" w:type="dxa"/>
            <w:tcBorders>
              <w:bottom w:val="single" w:sz="4" w:space="0" w:color="93B7BB"/>
            </w:tcBorders>
            <w:vAlign w:val="bottom"/>
          </w:tcPr>
          <w:p w14:paraId="65FB8FF3" w14:textId="77777777" w:rsidR="009E1DDE" w:rsidRPr="00716EDB" w:rsidRDefault="009E1DDE" w:rsidP="00B21316">
            <w:pPr>
              <w:pStyle w:val="Tabletext"/>
              <w:keepNext/>
              <w:keepLines/>
              <w:jc w:val="right"/>
            </w:pPr>
          </w:p>
        </w:tc>
      </w:tr>
      <w:tr w:rsidR="008B1E5B" w:rsidRPr="00716EDB" w14:paraId="73FED711" w14:textId="77777777" w:rsidTr="009E1DDE">
        <w:tc>
          <w:tcPr>
            <w:tcW w:w="3261" w:type="dxa"/>
            <w:tcBorders>
              <w:top w:val="single" w:sz="4" w:space="0" w:color="93B7BB"/>
            </w:tcBorders>
            <w:vAlign w:val="center"/>
          </w:tcPr>
          <w:p w14:paraId="62B7DC49" w14:textId="42D00C6E" w:rsidR="008B1E5B" w:rsidRPr="00716EDB" w:rsidRDefault="008B1E5B" w:rsidP="009E1DDE">
            <w:pPr>
              <w:pStyle w:val="Tabletext"/>
              <w:keepNext/>
              <w:keepLines/>
            </w:pPr>
            <w:r w:rsidRPr="004B1601">
              <w:rPr>
                <w:lang w:val="en-US" w:eastAsia="nl-NL"/>
              </w:rPr>
              <w:t>At 1 January 2014</w:t>
            </w:r>
          </w:p>
        </w:tc>
        <w:tc>
          <w:tcPr>
            <w:tcW w:w="1134" w:type="dxa"/>
            <w:tcBorders>
              <w:top w:val="single" w:sz="4" w:space="0" w:color="93B7BB"/>
            </w:tcBorders>
            <w:vAlign w:val="bottom"/>
          </w:tcPr>
          <w:p w14:paraId="632BA36C" w14:textId="1F812926" w:rsidR="008B1E5B" w:rsidRPr="00716EDB" w:rsidRDefault="008B1E5B" w:rsidP="00B21316">
            <w:pPr>
              <w:pStyle w:val="Tabletext"/>
              <w:keepNext/>
              <w:keepLines/>
              <w:jc w:val="right"/>
            </w:pPr>
            <w:r w:rsidRPr="00CE0A31">
              <w:t>68.5</w:t>
            </w:r>
          </w:p>
        </w:tc>
        <w:tc>
          <w:tcPr>
            <w:tcW w:w="1134" w:type="dxa"/>
            <w:tcBorders>
              <w:top w:val="single" w:sz="4" w:space="0" w:color="93B7BB"/>
            </w:tcBorders>
            <w:vAlign w:val="bottom"/>
          </w:tcPr>
          <w:p w14:paraId="1C294FBC" w14:textId="5B7DD1CD" w:rsidR="008B1E5B" w:rsidRPr="00716EDB" w:rsidRDefault="008B1E5B" w:rsidP="00B21316">
            <w:pPr>
              <w:pStyle w:val="Tabletext"/>
              <w:keepNext/>
              <w:keepLines/>
              <w:jc w:val="right"/>
            </w:pPr>
            <w:r w:rsidRPr="00CE0A31">
              <w:t>28.6</w:t>
            </w:r>
          </w:p>
        </w:tc>
        <w:tc>
          <w:tcPr>
            <w:tcW w:w="988" w:type="dxa"/>
            <w:tcBorders>
              <w:top w:val="single" w:sz="4" w:space="0" w:color="93B7BB"/>
            </w:tcBorders>
            <w:vAlign w:val="bottom"/>
          </w:tcPr>
          <w:p w14:paraId="77E4AF8B" w14:textId="19AC11DE" w:rsidR="008B1E5B" w:rsidRPr="00716EDB" w:rsidRDefault="008B1E5B" w:rsidP="00B21316">
            <w:pPr>
              <w:pStyle w:val="Tabletext"/>
              <w:keepNext/>
              <w:keepLines/>
              <w:jc w:val="right"/>
            </w:pPr>
            <w:r w:rsidRPr="00CE0A31">
              <w:t>83.9</w:t>
            </w:r>
          </w:p>
        </w:tc>
        <w:tc>
          <w:tcPr>
            <w:tcW w:w="1422" w:type="dxa"/>
            <w:tcBorders>
              <w:top w:val="single" w:sz="4" w:space="0" w:color="93B7BB"/>
            </w:tcBorders>
            <w:vAlign w:val="bottom"/>
          </w:tcPr>
          <w:p w14:paraId="1B2F55F1" w14:textId="793628CB" w:rsidR="008B1E5B" w:rsidRPr="00716EDB" w:rsidRDefault="008B1E5B" w:rsidP="00B21316">
            <w:pPr>
              <w:pStyle w:val="Tabletext"/>
              <w:keepNext/>
              <w:keepLines/>
              <w:jc w:val="right"/>
            </w:pPr>
            <w:r w:rsidRPr="00CE0A31">
              <w:t>–</w:t>
            </w:r>
          </w:p>
        </w:tc>
        <w:tc>
          <w:tcPr>
            <w:tcW w:w="1133" w:type="dxa"/>
            <w:tcBorders>
              <w:top w:val="single" w:sz="4" w:space="0" w:color="93B7BB"/>
            </w:tcBorders>
            <w:vAlign w:val="bottom"/>
          </w:tcPr>
          <w:p w14:paraId="0200CE81" w14:textId="2DC7E7F6" w:rsidR="008B1E5B" w:rsidRPr="00716EDB" w:rsidRDefault="008B1E5B" w:rsidP="00B21316">
            <w:pPr>
              <w:pStyle w:val="Tabletext"/>
              <w:keepNext/>
              <w:keepLines/>
              <w:jc w:val="right"/>
            </w:pPr>
            <w:r w:rsidRPr="00CE0A31">
              <w:t>181.0</w:t>
            </w:r>
          </w:p>
        </w:tc>
      </w:tr>
      <w:tr w:rsidR="008B1E5B" w:rsidRPr="00716EDB" w14:paraId="41157270" w14:textId="77777777" w:rsidTr="009E1DDE">
        <w:tc>
          <w:tcPr>
            <w:tcW w:w="3261" w:type="dxa"/>
          </w:tcPr>
          <w:p w14:paraId="605251CA" w14:textId="6838D37D" w:rsidR="008B1E5B" w:rsidRPr="00716EDB" w:rsidRDefault="008B1E5B" w:rsidP="009E1DDE">
            <w:pPr>
              <w:pStyle w:val="Tabletext"/>
            </w:pPr>
            <w:r w:rsidRPr="00CE0A31">
              <w:t>Charge for the year</w:t>
            </w:r>
          </w:p>
        </w:tc>
        <w:tc>
          <w:tcPr>
            <w:tcW w:w="1134" w:type="dxa"/>
            <w:vAlign w:val="bottom"/>
          </w:tcPr>
          <w:p w14:paraId="38BC365E" w14:textId="3C3B2F08" w:rsidR="008B1E5B" w:rsidRPr="00716EDB" w:rsidRDefault="008B1E5B" w:rsidP="00B21316">
            <w:pPr>
              <w:pStyle w:val="Tabletext"/>
              <w:jc w:val="right"/>
            </w:pPr>
            <w:r w:rsidRPr="00CE0A31">
              <w:t>15.6</w:t>
            </w:r>
          </w:p>
        </w:tc>
        <w:tc>
          <w:tcPr>
            <w:tcW w:w="1134" w:type="dxa"/>
            <w:vAlign w:val="bottom"/>
          </w:tcPr>
          <w:p w14:paraId="277E83E0" w14:textId="125EF240" w:rsidR="008B1E5B" w:rsidRPr="00716EDB" w:rsidRDefault="008B1E5B" w:rsidP="00B21316">
            <w:pPr>
              <w:pStyle w:val="Tabletext"/>
              <w:jc w:val="right"/>
            </w:pPr>
            <w:r w:rsidRPr="00CE0A31">
              <w:t>9.4</w:t>
            </w:r>
          </w:p>
        </w:tc>
        <w:tc>
          <w:tcPr>
            <w:tcW w:w="988" w:type="dxa"/>
            <w:vAlign w:val="bottom"/>
          </w:tcPr>
          <w:p w14:paraId="3B95E60B" w14:textId="573C752B" w:rsidR="008B1E5B" w:rsidRPr="00716EDB" w:rsidRDefault="008B1E5B" w:rsidP="00B21316">
            <w:pPr>
              <w:pStyle w:val="Tabletext"/>
              <w:jc w:val="right"/>
            </w:pPr>
            <w:r w:rsidRPr="00CE0A31">
              <w:t>20.</w:t>
            </w:r>
            <w:r>
              <w:t>1</w:t>
            </w:r>
          </w:p>
        </w:tc>
        <w:tc>
          <w:tcPr>
            <w:tcW w:w="1422" w:type="dxa"/>
            <w:vAlign w:val="bottom"/>
          </w:tcPr>
          <w:p w14:paraId="00A6FA48" w14:textId="4567D9CC" w:rsidR="008B1E5B" w:rsidRPr="003B4874" w:rsidRDefault="008B1E5B" w:rsidP="00B21316">
            <w:pPr>
              <w:pStyle w:val="Tabletext"/>
              <w:jc w:val="right"/>
            </w:pPr>
            <w:r w:rsidRPr="00CE0A31">
              <w:t>–</w:t>
            </w:r>
          </w:p>
        </w:tc>
        <w:tc>
          <w:tcPr>
            <w:tcW w:w="1133" w:type="dxa"/>
            <w:vAlign w:val="bottom"/>
          </w:tcPr>
          <w:p w14:paraId="20DC5E2C" w14:textId="3C1B4585" w:rsidR="008B1E5B" w:rsidRPr="00716EDB" w:rsidRDefault="008B1E5B" w:rsidP="00B21316">
            <w:pPr>
              <w:pStyle w:val="Tabletext"/>
              <w:jc w:val="right"/>
            </w:pPr>
            <w:r w:rsidRPr="00CE0A31">
              <w:t>45.</w:t>
            </w:r>
            <w:r>
              <w:t>1</w:t>
            </w:r>
          </w:p>
        </w:tc>
      </w:tr>
      <w:tr w:rsidR="008B1E5B" w:rsidRPr="00716EDB" w14:paraId="39154E36" w14:textId="77777777" w:rsidTr="009E1DDE">
        <w:tc>
          <w:tcPr>
            <w:tcW w:w="3261" w:type="dxa"/>
            <w:tcBorders>
              <w:bottom w:val="single" w:sz="4" w:space="0" w:color="93B7BB"/>
            </w:tcBorders>
          </w:tcPr>
          <w:p w14:paraId="54C55D49" w14:textId="03967CD5" w:rsidR="008B1E5B" w:rsidRPr="00716EDB" w:rsidRDefault="008B1E5B" w:rsidP="009E1DDE">
            <w:pPr>
              <w:pStyle w:val="Tabletext"/>
            </w:pPr>
            <w:r w:rsidRPr="00CE0A31">
              <w:t>Disposals</w:t>
            </w:r>
          </w:p>
        </w:tc>
        <w:tc>
          <w:tcPr>
            <w:tcW w:w="1134" w:type="dxa"/>
            <w:tcBorders>
              <w:bottom w:val="single" w:sz="4" w:space="0" w:color="93B7BB"/>
            </w:tcBorders>
            <w:vAlign w:val="bottom"/>
          </w:tcPr>
          <w:p w14:paraId="24D265A5" w14:textId="21422E00" w:rsidR="008B1E5B" w:rsidRPr="00716EDB" w:rsidRDefault="008B1E5B" w:rsidP="00B21316">
            <w:pPr>
              <w:pStyle w:val="Tabletext"/>
              <w:jc w:val="right"/>
            </w:pPr>
            <w:r w:rsidRPr="00CE0A31">
              <w:t>(0.2)</w:t>
            </w:r>
          </w:p>
        </w:tc>
        <w:tc>
          <w:tcPr>
            <w:tcW w:w="1134" w:type="dxa"/>
            <w:tcBorders>
              <w:bottom w:val="single" w:sz="4" w:space="0" w:color="93B7BB"/>
            </w:tcBorders>
            <w:vAlign w:val="bottom"/>
          </w:tcPr>
          <w:p w14:paraId="36922C0E" w14:textId="1DEF2B56" w:rsidR="008B1E5B" w:rsidRPr="00716EDB" w:rsidRDefault="008B1E5B" w:rsidP="00B21316">
            <w:pPr>
              <w:pStyle w:val="Tabletext"/>
              <w:jc w:val="right"/>
            </w:pPr>
            <w:r w:rsidRPr="00CE0A31">
              <w:t>(3.8)</w:t>
            </w:r>
          </w:p>
        </w:tc>
        <w:tc>
          <w:tcPr>
            <w:tcW w:w="988" w:type="dxa"/>
            <w:tcBorders>
              <w:bottom w:val="single" w:sz="4" w:space="0" w:color="93B7BB"/>
            </w:tcBorders>
            <w:vAlign w:val="bottom"/>
          </w:tcPr>
          <w:p w14:paraId="20B0E902" w14:textId="6C0B50CE" w:rsidR="008B1E5B" w:rsidRPr="00716EDB" w:rsidRDefault="008B1E5B" w:rsidP="00B21316">
            <w:pPr>
              <w:pStyle w:val="Tabletext"/>
              <w:jc w:val="right"/>
            </w:pPr>
            <w:r w:rsidRPr="00CE0A31">
              <w:t>(6.</w:t>
            </w:r>
            <w:r>
              <w:t>3</w:t>
            </w:r>
            <w:r w:rsidRPr="00CE0A31">
              <w:t>)</w:t>
            </w:r>
          </w:p>
        </w:tc>
        <w:tc>
          <w:tcPr>
            <w:tcW w:w="1422" w:type="dxa"/>
            <w:tcBorders>
              <w:bottom w:val="single" w:sz="4" w:space="0" w:color="93B7BB"/>
            </w:tcBorders>
            <w:vAlign w:val="bottom"/>
          </w:tcPr>
          <w:p w14:paraId="3DE7B5FD" w14:textId="0927D9C3" w:rsidR="008B1E5B" w:rsidRPr="00F86663" w:rsidRDefault="008B1E5B" w:rsidP="00B21316">
            <w:pPr>
              <w:pStyle w:val="Tabletext"/>
              <w:jc w:val="right"/>
            </w:pPr>
            <w:r w:rsidRPr="00CE0A31">
              <w:t>–</w:t>
            </w:r>
          </w:p>
        </w:tc>
        <w:tc>
          <w:tcPr>
            <w:tcW w:w="1133" w:type="dxa"/>
            <w:tcBorders>
              <w:bottom w:val="single" w:sz="4" w:space="0" w:color="93B7BB"/>
            </w:tcBorders>
            <w:vAlign w:val="bottom"/>
          </w:tcPr>
          <w:p w14:paraId="7D3D7097" w14:textId="58D9C91B" w:rsidR="008B1E5B" w:rsidRPr="00F86663" w:rsidRDefault="008B1E5B" w:rsidP="00B21316">
            <w:pPr>
              <w:pStyle w:val="Tabletext"/>
              <w:jc w:val="right"/>
            </w:pPr>
            <w:r w:rsidRPr="00CE0A31">
              <w:t>(10.</w:t>
            </w:r>
            <w:r>
              <w:t>3</w:t>
            </w:r>
            <w:r w:rsidRPr="00CE0A31">
              <w:t>)</w:t>
            </w:r>
          </w:p>
        </w:tc>
      </w:tr>
      <w:tr w:rsidR="008B1E5B" w:rsidRPr="00716EDB" w14:paraId="5E67596B" w14:textId="77777777" w:rsidTr="009E1DDE">
        <w:tc>
          <w:tcPr>
            <w:tcW w:w="3261" w:type="dxa"/>
            <w:tcBorders>
              <w:top w:val="single" w:sz="4" w:space="0" w:color="93B7BB"/>
            </w:tcBorders>
            <w:vAlign w:val="center"/>
          </w:tcPr>
          <w:p w14:paraId="4B296CAD" w14:textId="24A4FADE" w:rsidR="008B1E5B" w:rsidRPr="00716EDB" w:rsidRDefault="008B1E5B" w:rsidP="009E1DDE">
            <w:pPr>
              <w:pStyle w:val="Tabletext"/>
            </w:pPr>
            <w:r w:rsidRPr="004B1601">
              <w:rPr>
                <w:lang w:val="en-US" w:eastAsia="nl-NL"/>
              </w:rPr>
              <w:t>At 1 January 201</w:t>
            </w:r>
            <w:r>
              <w:rPr>
                <w:lang w:val="en-US" w:eastAsia="nl-NL"/>
              </w:rPr>
              <w:t>5</w:t>
            </w:r>
          </w:p>
        </w:tc>
        <w:tc>
          <w:tcPr>
            <w:tcW w:w="1134" w:type="dxa"/>
            <w:tcBorders>
              <w:top w:val="single" w:sz="4" w:space="0" w:color="93B7BB"/>
            </w:tcBorders>
            <w:vAlign w:val="bottom"/>
          </w:tcPr>
          <w:p w14:paraId="6724E896" w14:textId="79902719" w:rsidR="008B1E5B" w:rsidRPr="008B1E5B" w:rsidRDefault="008B1E5B" w:rsidP="00B21316">
            <w:pPr>
              <w:pStyle w:val="Tabletext"/>
              <w:jc w:val="right"/>
            </w:pPr>
            <w:r w:rsidRPr="008B1E5B">
              <w:t>83.9</w:t>
            </w:r>
          </w:p>
        </w:tc>
        <w:tc>
          <w:tcPr>
            <w:tcW w:w="1134" w:type="dxa"/>
            <w:tcBorders>
              <w:top w:val="single" w:sz="4" w:space="0" w:color="93B7BB"/>
            </w:tcBorders>
            <w:vAlign w:val="bottom"/>
          </w:tcPr>
          <w:p w14:paraId="0DFBB908" w14:textId="62DA3733" w:rsidR="008B1E5B" w:rsidRPr="008B1E5B" w:rsidRDefault="008B1E5B" w:rsidP="00B21316">
            <w:pPr>
              <w:pStyle w:val="Tabletext"/>
              <w:jc w:val="right"/>
            </w:pPr>
            <w:r w:rsidRPr="008B1E5B">
              <w:t>34.2</w:t>
            </w:r>
          </w:p>
        </w:tc>
        <w:tc>
          <w:tcPr>
            <w:tcW w:w="988" w:type="dxa"/>
            <w:tcBorders>
              <w:top w:val="single" w:sz="4" w:space="0" w:color="93B7BB"/>
            </w:tcBorders>
            <w:vAlign w:val="bottom"/>
          </w:tcPr>
          <w:p w14:paraId="0CF62906" w14:textId="41ABC938" w:rsidR="008B1E5B" w:rsidRPr="008B1E5B" w:rsidRDefault="008B1E5B" w:rsidP="00B21316">
            <w:pPr>
              <w:pStyle w:val="Tabletext"/>
              <w:jc w:val="right"/>
            </w:pPr>
            <w:r w:rsidRPr="008B1E5B">
              <w:t>97.7</w:t>
            </w:r>
          </w:p>
        </w:tc>
        <w:tc>
          <w:tcPr>
            <w:tcW w:w="1422" w:type="dxa"/>
            <w:tcBorders>
              <w:top w:val="single" w:sz="4" w:space="0" w:color="93B7BB"/>
            </w:tcBorders>
            <w:vAlign w:val="bottom"/>
          </w:tcPr>
          <w:p w14:paraId="5A9078BC" w14:textId="74000B56" w:rsidR="008B1E5B" w:rsidRPr="008B1E5B" w:rsidRDefault="008B1E5B" w:rsidP="00B21316">
            <w:pPr>
              <w:pStyle w:val="Tabletext"/>
              <w:jc w:val="right"/>
            </w:pPr>
            <w:r w:rsidRPr="008B1E5B">
              <w:t>–</w:t>
            </w:r>
          </w:p>
        </w:tc>
        <w:tc>
          <w:tcPr>
            <w:tcW w:w="1133" w:type="dxa"/>
            <w:tcBorders>
              <w:top w:val="single" w:sz="4" w:space="0" w:color="93B7BB"/>
            </w:tcBorders>
            <w:vAlign w:val="bottom"/>
          </w:tcPr>
          <w:p w14:paraId="7374AEEB" w14:textId="1C6A80A5" w:rsidR="008B1E5B" w:rsidRPr="008B1E5B" w:rsidRDefault="008B1E5B" w:rsidP="00B21316">
            <w:pPr>
              <w:pStyle w:val="Tabletext"/>
              <w:jc w:val="right"/>
            </w:pPr>
            <w:r w:rsidRPr="008B1E5B">
              <w:t>215.8</w:t>
            </w:r>
          </w:p>
        </w:tc>
      </w:tr>
      <w:tr w:rsidR="008B1E5B" w:rsidRPr="00716EDB" w14:paraId="5F196359" w14:textId="77777777" w:rsidTr="004A4EB9">
        <w:tc>
          <w:tcPr>
            <w:tcW w:w="3261" w:type="dxa"/>
          </w:tcPr>
          <w:p w14:paraId="4C73D808" w14:textId="6547BE71" w:rsidR="008B1E5B" w:rsidRDefault="008B1E5B" w:rsidP="009E1DDE">
            <w:pPr>
              <w:pStyle w:val="Tabletext"/>
              <w:rPr>
                <w:lang w:val="en-US" w:eastAsia="nl-NL"/>
              </w:rPr>
            </w:pPr>
            <w:r w:rsidRPr="00CE0A31">
              <w:t>Charge for the year</w:t>
            </w:r>
          </w:p>
        </w:tc>
        <w:tc>
          <w:tcPr>
            <w:tcW w:w="1134" w:type="dxa"/>
            <w:vAlign w:val="bottom"/>
          </w:tcPr>
          <w:p w14:paraId="13338D24" w14:textId="75EF00A1" w:rsidR="008B1E5B" w:rsidRPr="00716EDB" w:rsidRDefault="000C072A" w:rsidP="00B21316">
            <w:pPr>
              <w:pStyle w:val="Tabletext"/>
              <w:jc w:val="right"/>
            </w:pPr>
            <w:r>
              <w:t>11.3</w:t>
            </w:r>
          </w:p>
        </w:tc>
        <w:tc>
          <w:tcPr>
            <w:tcW w:w="1134" w:type="dxa"/>
            <w:vAlign w:val="bottom"/>
          </w:tcPr>
          <w:p w14:paraId="3BBA5693" w14:textId="6CF80890" w:rsidR="008B1E5B" w:rsidRPr="00716EDB" w:rsidRDefault="000C072A" w:rsidP="00B21316">
            <w:pPr>
              <w:pStyle w:val="Tabletext"/>
              <w:jc w:val="right"/>
            </w:pPr>
            <w:r>
              <w:t>5.4</w:t>
            </w:r>
          </w:p>
        </w:tc>
        <w:tc>
          <w:tcPr>
            <w:tcW w:w="988" w:type="dxa"/>
            <w:vAlign w:val="bottom"/>
          </w:tcPr>
          <w:p w14:paraId="76981D97" w14:textId="026D61B2" w:rsidR="008B1E5B" w:rsidRPr="002829C3" w:rsidRDefault="000C072A" w:rsidP="00B21316">
            <w:pPr>
              <w:pStyle w:val="Tabletext"/>
              <w:jc w:val="right"/>
            </w:pPr>
            <w:r>
              <w:t>32.2</w:t>
            </w:r>
          </w:p>
        </w:tc>
        <w:tc>
          <w:tcPr>
            <w:tcW w:w="1422" w:type="dxa"/>
            <w:vAlign w:val="bottom"/>
          </w:tcPr>
          <w:p w14:paraId="44B4220A" w14:textId="0DF2227C" w:rsidR="008B1E5B" w:rsidRPr="00F86663" w:rsidRDefault="000C072A" w:rsidP="00B21316">
            <w:pPr>
              <w:pStyle w:val="Tabletext"/>
              <w:jc w:val="right"/>
            </w:pPr>
            <w:r w:rsidRPr="008B1E5B">
              <w:t>–</w:t>
            </w:r>
          </w:p>
        </w:tc>
        <w:tc>
          <w:tcPr>
            <w:tcW w:w="1133" w:type="dxa"/>
            <w:vAlign w:val="bottom"/>
          </w:tcPr>
          <w:p w14:paraId="4D8AC0F5" w14:textId="0A48A044" w:rsidR="008B1E5B" w:rsidRPr="00F86663" w:rsidRDefault="00582470" w:rsidP="00B21316">
            <w:pPr>
              <w:pStyle w:val="Tabletext"/>
              <w:jc w:val="right"/>
            </w:pPr>
            <w:r>
              <w:t>48.9</w:t>
            </w:r>
          </w:p>
        </w:tc>
      </w:tr>
      <w:tr w:rsidR="00582470" w:rsidRPr="00716EDB" w14:paraId="56FD6282" w14:textId="77777777" w:rsidTr="004A4EB9">
        <w:tc>
          <w:tcPr>
            <w:tcW w:w="3261" w:type="dxa"/>
          </w:tcPr>
          <w:p w14:paraId="422964BA" w14:textId="51B8EA6B" w:rsidR="00582470" w:rsidRPr="00CE0A31" w:rsidRDefault="00582470" w:rsidP="009E1DDE">
            <w:pPr>
              <w:pStyle w:val="Tabletext"/>
            </w:pPr>
            <w:r>
              <w:t>Impairment</w:t>
            </w:r>
          </w:p>
        </w:tc>
        <w:tc>
          <w:tcPr>
            <w:tcW w:w="1134" w:type="dxa"/>
            <w:vAlign w:val="bottom"/>
          </w:tcPr>
          <w:p w14:paraId="490A0E1F" w14:textId="19808538" w:rsidR="00582470" w:rsidRPr="00716EDB" w:rsidRDefault="00582470" w:rsidP="00B21316">
            <w:pPr>
              <w:pStyle w:val="Tabletext"/>
              <w:jc w:val="right"/>
            </w:pPr>
            <w:r>
              <w:t>4.9</w:t>
            </w:r>
          </w:p>
        </w:tc>
        <w:tc>
          <w:tcPr>
            <w:tcW w:w="1134" w:type="dxa"/>
            <w:vAlign w:val="bottom"/>
          </w:tcPr>
          <w:p w14:paraId="21CC95A1" w14:textId="728367FE" w:rsidR="00582470" w:rsidRPr="00716EDB" w:rsidRDefault="00582470" w:rsidP="00B21316">
            <w:pPr>
              <w:pStyle w:val="Tabletext"/>
              <w:jc w:val="right"/>
            </w:pPr>
            <w:r>
              <w:t>2.7</w:t>
            </w:r>
          </w:p>
        </w:tc>
        <w:tc>
          <w:tcPr>
            <w:tcW w:w="988" w:type="dxa"/>
            <w:vAlign w:val="bottom"/>
          </w:tcPr>
          <w:p w14:paraId="4094F736" w14:textId="36397362" w:rsidR="00582470" w:rsidRPr="00716EDB" w:rsidRDefault="00582470" w:rsidP="00B21316">
            <w:pPr>
              <w:pStyle w:val="Tabletext"/>
              <w:jc w:val="right"/>
            </w:pPr>
            <w:r>
              <w:t>3.6</w:t>
            </w:r>
          </w:p>
        </w:tc>
        <w:tc>
          <w:tcPr>
            <w:tcW w:w="1422" w:type="dxa"/>
            <w:vAlign w:val="bottom"/>
          </w:tcPr>
          <w:p w14:paraId="2DDCB586" w14:textId="556688F9" w:rsidR="00582470" w:rsidRPr="008B1E5B" w:rsidRDefault="00582470" w:rsidP="00B21316">
            <w:pPr>
              <w:pStyle w:val="Tabletext"/>
              <w:jc w:val="right"/>
            </w:pPr>
            <w:r w:rsidRPr="008B1E5B">
              <w:t>–</w:t>
            </w:r>
          </w:p>
        </w:tc>
        <w:tc>
          <w:tcPr>
            <w:tcW w:w="1133" w:type="dxa"/>
            <w:vAlign w:val="bottom"/>
          </w:tcPr>
          <w:p w14:paraId="072CA688" w14:textId="7416C25C" w:rsidR="00582470" w:rsidRDefault="00582470" w:rsidP="00B21316">
            <w:pPr>
              <w:pStyle w:val="Tabletext"/>
              <w:jc w:val="right"/>
            </w:pPr>
            <w:r>
              <w:t>11.2</w:t>
            </w:r>
          </w:p>
        </w:tc>
      </w:tr>
      <w:tr w:rsidR="00865CCB" w:rsidRPr="00716EDB" w14:paraId="57AFF912" w14:textId="77777777" w:rsidTr="004A4EB9">
        <w:tc>
          <w:tcPr>
            <w:tcW w:w="3261" w:type="dxa"/>
          </w:tcPr>
          <w:p w14:paraId="7D3DA028" w14:textId="159B1AAB" w:rsidR="00865CCB" w:rsidRPr="00CE0A31" w:rsidRDefault="00865CCB" w:rsidP="009E1DDE">
            <w:pPr>
              <w:pStyle w:val="Tabletext"/>
            </w:pPr>
            <w:r w:rsidRPr="00CE0A31">
              <w:t>Disposals</w:t>
            </w:r>
          </w:p>
        </w:tc>
        <w:tc>
          <w:tcPr>
            <w:tcW w:w="1134" w:type="dxa"/>
            <w:vAlign w:val="bottom"/>
          </w:tcPr>
          <w:p w14:paraId="40360DBA" w14:textId="7A5ABE53" w:rsidR="00865CCB" w:rsidRPr="00716EDB" w:rsidRDefault="00865CCB" w:rsidP="00B21316">
            <w:pPr>
              <w:pStyle w:val="Tabletext"/>
              <w:jc w:val="right"/>
            </w:pPr>
            <w:r w:rsidRPr="00716EDB">
              <w:t>–</w:t>
            </w:r>
          </w:p>
        </w:tc>
        <w:tc>
          <w:tcPr>
            <w:tcW w:w="1134" w:type="dxa"/>
            <w:vAlign w:val="bottom"/>
          </w:tcPr>
          <w:p w14:paraId="74B96153" w14:textId="727062EC" w:rsidR="00865CCB" w:rsidRPr="00716EDB" w:rsidRDefault="00582470" w:rsidP="00582470">
            <w:pPr>
              <w:pStyle w:val="Tabletext"/>
              <w:jc w:val="right"/>
            </w:pPr>
            <w:r>
              <w:t>(0.6)</w:t>
            </w:r>
          </w:p>
        </w:tc>
        <w:tc>
          <w:tcPr>
            <w:tcW w:w="988" w:type="dxa"/>
            <w:vAlign w:val="bottom"/>
          </w:tcPr>
          <w:p w14:paraId="06D7954E" w14:textId="15131E5D" w:rsidR="00865CCB" w:rsidRPr="002829C3" w:rsidRDefault="00582470" w:rsidP="00582470">
            <w:pPr>
              <w:pStyle w:val="Tabletext"/>
              <w:jc w:val="right"/>
            </w:pPr>
            <w:r>
              <w:t>(1.5)</w:t>
            </w:r>
          </w:p>
        </w:tc>
        <w:tc>
          <w:tcPr>
            <w:tcW w:w="1422" w:type="dxa"/>
            <w:vAlign w:val="bottom"/>
          </w:tcPr>
          <w:p w14:paraId="17879766" w14:textId="1D21ACDD" w:rsidR="00865CCB" w:rsidRPr="00F86663" w:rsidRDefault="000C072A" w:rsidP="00B21316">
            <w:pPr>
              <w:pStyle w:val="Tabletext"/>
              <w:jc w:val="right"/>
            </w:pPr>
            <w:r w:rsidRPr="008B1E5B">
              <w:t>–</w:t>
            </w:r>
          </w:p>
        </w:tc>
        <w:tc>
          <w:tcPr>
            <w:tcW w:w="1133" w:type="dxa"/>
            <w:vAlign w:val="bottom"/>
          </w:tcPr>
          <w:p w14:paraId="47C7D129" w14:textId="163D79DF" w:rsidR="00865CCB" w:rsidRPr="00F86663" w:rsidRDefault="00582470" w:rsidP="00B21316">
            <w:pPr>
              <w:pStyle w:val="Tabletext"/>
              <w:jc w:val="right"/>
            </w:pPr>
            <w:r>
              <w:t>(2.1)</w:t>
            </w:r>
          </w:p>
        </w:tc>
      </w:tr>
      <w:tr w:rsidR="00865CCB" w:rsidRPr="00716EDB" w14:paraId="2D8FE119" w14:textId="77777777" w:rsidTr="004A4EB9">
        <w:tc>
          <w:tcPr>
            <w:tcW w:w="3261" w:type="dxa"/>
            <w:tcBorders>
              <w:bottom w:val="single" w:sz="4" w:space="0" w:color="93B7BB"/>
            </w:tcBorders>
          </w:tcPr>
          <w:p w14:paraId="10A49773" w14:textId="08B04C57" w:rsidR="00865CCB" w:rsidRPr="00716EDB" w:rsidRDefault="00865CCB" w:rsidP="00384E7E">
            <w:pPr>
              <w:pStyle w:val="Tabletext"/>
            </w:pPr>
            <w:r>
              <w:t>Reclassification</w:t>
            </w:r>
            <w:r w:rsidRPr="00CE0A31">
              <w:t xml:space="preserve"> </w:t>
            </w:r>
          </w:p>
        </w:tc>
        <w:tc>
          <w:tcPr>
            <w:tcW w:w="1134" w:type="dxa"/>
            <w:tcBorders>
              <w:bottom w:val="single" w:sz="4" w:space="0" w:color="93B7BB"/>
            </w:tcBorders>
            <w:vAlign w:val="bottom"/>
          </w:tcPr>
          <w:p w14:paraId="23513ADB" w14:textId="3AD68747" w:rsidR="00865CCB" w:rsidRPr="00716EDB" w:rsidRDefault="00C92139" w:rsidP="00C92139">
            <w:pPr>
              <w:pStyle w:val="Tabletext"/>
              <w:jc w:val="right"/>
            </w:pPr>
            <w:r>
              <w:t>(5.4)</w:t>
            </w:r>
          </w:p>
        </w:tc>
        <w:tc>
          <w:tcPr>
            <w:tcW w:w="1134" w:type="dxa"/>
            <w:tcBorders>
              <w:bottom w:val="single" w:sz="4" w:space="0" w:color="93B7BB"/>
            </w:tcBorders>
            <w:vAlign w:val="bottom"/>
          </w:tcPr>
          <w:p w14:paraId="7E4BBAFF" w14:textId="3C0EA3C2" w:rsidR="00865CCB" w:rsidRPr="00716EDB" w:rsidRDefault="00C92139" w:rsidP="00C92139">
            <w:pPr>
              <w:pStyle w:val="Tabletext"/>
              <w:jc w:val="right"/>
            </w:pPr>
            <w:r>
              <w:t>(1.0)</w:t>
            </w:r>
          </w:p>
        </w:tc>
        <w:tc>
          <w:tcPr>
            <w:tcW w:w="988" w:type="dxa"/>
            <w:tcBorders>
              <w:bottom w:val="single" w:sz="4" w:space="0" w:color="93B7BB"/>
            </w:tcBorders>
            <w:vAlign w:val="bottom"/>
          </w:tcPr>
          <w:p w14:paraId="3A51C7DE" w14:textId="4350A1B2" w:rsidR="00865CCB" w:rsidRPr="003A2EAB" w:rsidRDefault="00C92139" w:rsidP="00C92139">
            <w:pPr>
              <w:pStyle w:val="Tabletext"/>
              <w:jc w:val="right"/>
            </w:pPr>
            <w:r>
              <w:t>6.4</w:t>
            </w:r>
          </w:p>
        </w:tc>
        <w:tc>
          <w:tcPr>
            <w:tcW w:w="1422" w:type="dxa"/>
            <w:tcBorders>
              <w:bottom w:val="single" w:sz="4" w:space="0" w:color="93B7BB"/>
            </w:tcBorders>
            <w:vAlign w:val="bottom"/>
          </w:tcPr>
          <w:p w14:paraId="6E6D539B" w14:textId="2FF16E82" w:rsidR="00865CCB" w:rsidRPr="00F86663" w:rsidRDefault="000C072A" w:rsidP="00B21316">
            <w:pPr>
              <w:pStyle w:val="Tabletext"/>
              <w:jc w:val="right"/>
            </w:pPr>
            <w:r w:rsidRPr="008B1E5B">
              <w:t>–</w:t>
            </w:r>
          </w:p>
        </w:tc>
        <w:tc>
          <w:tcPr>
            <w:tcW w:w="1133" w:type="dxa"/>
            <w:tcBorders>
              <w:bottom w:val="single" w:sz="4" w:space="0" w:color="93B7BB"/>
            </w:tcBorders>
            <w:vAlign w:val="bottom"/>
          </w:tcPr>
          <w:p w14:paraId="732D57D8" w14:textId="4B0DFDB0" w:rsidR="00865CCB" w:rsidRPr="00F86663" w:rsidRDefault="00C92139" w:rsidP="00B21316">
            <w:pPr>
              <w:pStyle w:val="Tabletext"/>
              <w:jc w:val="right"/>
            </w:pPr>
            <w:r w:rsidRPr="008B1E5B">
              <w:t>–</w:t>
            </w:r>
          </w:p>
        </w:tc>
      </w:tr>
      <w:tr w:rsidR="00865CCB" w:rsidRPr="00716EDB" w14:paraId="5B1E5777" w14:textId="77777777" w:rsidTr="008B1E5B">
        <w:tc>
          <w:tcPr>
            <w:tcW w:w="3261" w:type="dxa"/>
            <w:tcBorders>
              <w:top w:val="single" w:sz="4" w:space="0" w:color="93B7BB"/>
              <w:bottom w:val="single" w:sz="4" w:space="0" w:color="93B7BB"/>
            </w:tcBorders>
            <w:vAlign w:val="center"/>
          </w:tcPr>
          <w:p w14:paraId="4052C4A7" w14:textId="57C09F9F" w:rsidR="00865CCB" w:rsidRPr="006D1B0B" w:rsidRDefault="00865CCB" w:rsidP="009E1DDE">
            <w:pPr>
              <w:pStyle w:val="Tabletext"/>
              <w:rPr>
                <w:b/>
              </w:rPr>
            </w:pPr>
            <w:r>
              <w:rPr>
                <w:b/>
                <w:lang w:val="en-US" w:eastAsia="nl-NL"/>
              </w:rPr>
              <w:t>A</w:t>
            </w:r>
            <w:r w:rsidRPr="00716EDB">
              <w:rPr>
                <w:b/>
                <w:lang w:val="en-US" w:eastAsia="nl-NL"/>
              </w:rPr>
              <w:t>t 31 December 201</w:t>
            </w:r>
            <w:r>
              <w:rPr>
                <w:b/>
                <w:lang w:val="en-US" w:eastAsia="nl-NL"/>
              </w:rPr>
              <w:t>5</w:t>
            </w:r>
          </w:p>
        </w:tc>
        <w:tc>
          <w:tcPr>
            <w:tcW w:w="1134" w:type="dxa"/>
            <w:tcBorders>
              <w:top w:val="single" w:sz="4" w:space="0" w:color="93B7BB"/>
              <w:bottom w:val="single" w:sz="4" w:space="0" w:color="93B7BB"/>
            </w:tcBorders>
            <w:vAlign w:val="bottom"/>
          </w:tcPr>
          <w:p w14:paraId="710BB74A" w14:textId="075800BC" w:rsidR="00865CCB" w:rsidRPr="006D1B0B" w:rsidRDefault="00C92139" w:rsidP="00B21316">
            <w:pPr>
              <w:pStyle w:val="Tabletext"/>
              <w:jc w:val="right"/>
              <w:rPr>
                <w:b/>
              </w:rPr>
            </w:pPr>
            <w:r>
              <w:rPr>
                <w:b/>
              </w:rPr>
              <w:t>94.7</w:t>
            </w:r>
          </w:p>
        </w:tc>
        <w:tc>
          <w:tcPr>
            <w:tcW w:w="1134" w:type="dxa"/>
            <w:tcBorders>
              <w:top w:val="single" w:sz="4" w:space="0" w:color="93B7BB"/>
              <w:bottom w:val="single" w:sz="4" w:space="0" w:color="93B7BB"/>
            </w:tcBorders>
            <w:vAlign w:val="bottom"/>
          </w:tcPr>
          <w:p w14:paraId="6983874B" w14:textId="5620E252" w:rsidR="00865CCB" w:rsidRPr="006D1B0B" w:rsidRDefault="00C92139" w:rsidP="00B21316">
            <w:pPr>
              <w:pStyle w:val="Tabletext"/>
              <w:jc w:val="right"/>
              <w:rPr>
                <w:b/>
              </w:rPr>
            </w:pPr>
            <w:r>
              <w:rPr>
                <w:b/>
              </w:rPr>
              <w:t>40.7</w:t>
            </w:r>
          </w:p>
        </w:tc>
        <w:tc>
          <w:tcPr>
            <w:tcW w:w="988" w:type="dxa"/>
            <w:tcBorders>
              <w:top w:val="single" w:sz="4" w:space="0" w:color="93B7BB"/>
              <w:bottom w:val="single" w:sz="4" w:space="0" w:color="93B7BB"/>
            </w:tcBorders>
            <w:vAlign w:val="bottom"/>
          </w:tcPr>
          <w:p w14:paraId="75EA3A5C" w14:textId="46973C34" w:rsidR="00865CCB" w:rsidRPr="009D70E6" w:rsidRDefault="00C92139" w:rsidP="00B21316">
            <w:pPr>
              <w:pStyle w:val="Tabletext"/>
              <w:jc w:val="right"/>
              <w:rPr>
                <w:b/>
              </w:rPr>
            </w:pPr>
            <w:r>
              <w:rPr>
                <w:b/>
              </w:rPr>
              <w:t>138.4</w:t>
            </w:r>
          </w:p>
        </w:tc>
        <w:tc>
          <w:tcPr>
            <w:tcW w:w="1422" w:type="dxa"/>
            <w:tcBorders>
              <w:top w:val="single" w:sz="4" w:space="0" w:color="93B7BB"/>
              <w:bottom w:val="single" w:sz="4" w:space="0" w:color="93B7BB"/>
            </w:tcBorders>
            <w:vAlign w:val="bottom"/>
          </w:tcPr>
          <w:p w14:paraId="35CDCDC3" w14:textId="785043E4" w:rsidR="00865CCB" w:rsidRPr="00C92139" w:rsidRDefault="00C92139" w:rsidP="00B21316">
            <w:pPr>
              <w:pStyle w:val="Tabletext"/>
              <w:jc w:val="right"/>
              <w:rPr>
                <w:b/>
              </w:rPr>
            </w:pPr>
            <w:r w:rsidRPr="00C92139">
              <w:rPr>
                <w:b/>
              </w:rPr>
              <w:t>–</w:t>
            </w:r>
          </w:p>
        </w:tc>
        <w:tc>
          <w:tcPr>
            <w:tcW w:w="1133" w:type="dxa"/>
            <w:tcBorders>
              <w:top w:val="single" w:sz="4" w:space="0" w:color="93B7BB"/>
              <w:bottom w:val="single" w:sz="4" w:space="0" w:color="93B7BB"/>
            </w:tcBorders>
            <w:vAlign w:val="bottom"/>
          </w:tcPr>
          <w:p w14:paraId="335B92E0" w14:textId="3A496A21" w:rsidR="00865CCB" w:rsidRPr="00F86663" w:rsidRDefault="00C92139" w:rsidP="00B21316">
            <w:pPr>
              <w:pStyle w:val="Tabletext"/>
              <w:jc w:val="right"/>
              <w:rPr>
                <w:b/>
              </w:rPr>
            </w:pPr>
            <w:r>
              <w:rPr>
                <w:b/>
              </w:rPr>
              <w:t>273.8</w:t>
            </w:r>
          </w:p>
        </w:tc>
      </w:tr>
      <w:tr w:rsidR="00865CCB" w:rsidRPr="00716EDB" w14:paraId="02868104" w14:textId="77777777" w:rsidTr="00AD432A">
        <w:tc>
          <w:tcPr>
            <w:tcW w:w="3261" w:type="dxa"/>
            <w:tcBorders>
              <w:top w:val="single" w:sz="4" w:space="0" w:color="93B7BB"/>
            </w:tcBorders>
            <w:vAlign w:val="center"/>
          </w:tcPr>
          <w:p w14:paraId="7E494671" w14:textId="77777777" w:rsidR="00865CCB" w:rsidRPr="00520CBD" w:rsidRDefault="00865CCB" w:rsidP="009E1DDE">
            <w:pPr>
              <w:pStyle w:val="Tabletext"/>
              <w:rPr>
                <w:b/>
              </w:rPr>
            </w:pPr>
          </w:p>
        </w:tc>
        <w:tc>
          <w:tcPr>
            <w:tcW w:w="1134" w:type="dxa"/>
            <w:tcBorders>
              <w:top w:val="single" w:sz="4" w:space="0" w:color="93B7BB"/>
            </w:tcBorders>
            <w:vAlign w:val="bottom"/>
          </w:tcPr>
          <w:p w14:paraId="5C204DAB" w14:textId="77777777" w:rsidR="00865CCB" w:rsidRPr="006D1B0B" w:rsidRDefault="00865CCB" w:rsidP="00B21316">
            <w:pPr>
              <w:pStyle w:val="Tabletext"/>
              <w:jc w:val="right"/>
              <w:rPr>
                <w:b/>
              </w:rPr>
            </w:pPr>
          </w:p>
        </w:tc>
        <w:tc>
          <w:tcPr>
            <w:tcW w:w="1134" w:type="dxa"/>
            <w:tcBorders>
              <w:top w:val="single" w:sz="4" w:space="0" w:color="93B7BB"/>
            </w:tcBorders>
            <w:vAlign w:val="bottom"/>
          </w:tcPr>
          <w:p w14:paraId="5E507342" w14:textId="77777777" w:rsidR="00865CCB" w:rsidRPr="006D1B0B" w:rsidRDefault="00865CCB" w:rsidP="00B21316">
            <w:pPr>
              <w:pStyle w:val="Tabletext"/>
              <w:jc w:val="right"/>
              <w:rPr>
                <w:b/>
              </w:rPr>
            </w:pPr>
          </w:p>
        </w:tc>
        <w:tc>
          <w:tcPr>
            <w:tcW w:w="988" w:type="dxa"/>
            <w:tcBorders>
              <w:top w:val="single" w:sz="4" w:space="0" w:color="93B7BB"/>
            </w:tcBorders>
            <w:vAlign w:val="bottom"/>
          </w:tcPr>
          <w:p w14:paraId="4F629885" w14:textId="77777777" w:rsidR="00865CCB" w:rsidRPr="009D70E6" w:rsidRDefault="00865CCB" w:rsidP="00B21316">
            <w:pPr>
              <w:pStyle w:val="Tabletext"/>
              <w:jc w:val="right"/>
              <w:rPr>
                <w:b/>
              </w:rPr>
            </w:pPr>
          </w:p>
        </w:tc>
        <w:tc>
          <w:tcPr>
            <w:tcW w:w="1422" w:type="dxa"/>
            <w:tcBorders>
              <w:top w:val="single" w:sz="4" w:space="0" w:color="93B7BB"/>
            </w:tcBorders>
            <w:vAlign w:val="bottom"/>
          </w:tcPr>
          <w:p w14:paraId="14821597" w14:textId="77777777" w:rsidR="00865CCB" w:rsidRPr="00F86663" w:rsidRDefault="00865CCB" w:rsidP="00B21316">
            <w:pPr>
              <w:pStyle w:val="Tabletext"/>
              <w:jc w:val="right"/>
              <w:rPr>
                <w:b/>
              </w:rPr>
            </w:pPr>
          </w:p>
        </w:tc>
        <w:tc>
          <w:tcPr>
            <w:tcW w:w="1133" w:type="dxa"/>
            <w:tcBorders>
              <w:top w:val="single" w:sz="4" w:space="0" w:color="93B7BB"/>
            </w:tcBorders>
            <w:vAlign w:val="bottom"/>
          </w:tcPr>
          <w:p w14:paraId="5D82EB37" w14:textId="77777777" w:rsidR="00865CCB" w:rsidRPr="00F86663" w:rsidRDefault="00865CCB" w:rsidP="00B21316">
            <w:pPr>
              <w:pStyle w:val="Tabletext"/>
              <w:jc w:val="right"/>
              <w:rPr>
                <w:b/>
              </w:rPr>
            </w:pPr>
          </w:p>
        </w:tc>
      </w:tr>
      <w:tr w:rsidR="00865CCB" w:rsidRPr="00716EDB" w14:paraId="394696DF" w14:textId="77777777" w:rsidTr="00AD432A">
        <w:tc>
          <w:tcPr>
            <w:tcW w:w="3261" w:type="dxa"/>
            <w:vAlign w:val="center"/>
          </w:tcPr>
          <w:p w14:paraId="183DFA67" w14:textId="00AF668B" w:rsidR="00865CCB" w:rsidRDefault="00865CCB" w:rsidP="009E1DDE">
            <w:pPr>
              <w:pStyle w:val="Tabletext"/>
              <w:rPr>
                <w:b/>
                <w:lang w:val="en-US" w:eastAsia="nl-NL"/>
              </w:rPr>
            </w:pPr>
            <w:r w:rsidRPr="00520CBD">
              <w:rPr>
                <w:b/>
              </w:rPr>
              <w:t xml:space="preserve">Net </w:t>
            </w:r>
            <w:r>
              <w:rPr>
                <w:b/>
              </w:rPr>
              <w:t>b</w:t>
            </w:r>
            <w:r w:rsidRPr="00520CBD">
              <w:rPr>
                <w:b/>
              </w:rPr>
              <w:t xml:space="preserve">ook </w:t>
            </w:r>
            <w:r>
              <w:rPr>
                <w:b/>
              </w:rPr>
              <w:t>v</w:t>
            </w:r>
            <w:r w:rsidRPr="00520CBD">
              <w:rPr>
                <w:b/>
              </w:rPr>
              <w:t>alue:</w:t>
            </w:r>
          </w:p>
        </w:tc>
        <w:tc>
          <w:tcPr>
            <w:tcW w:w="1134" w:type="dxa"/>
            <w:vAlign w:val="bottom"/>
          </w:tcPr>
          <w:p w14:paraId="1CBBFE7D" w14:textId="77777777" w:rsidR="00865CCB" w:rsidRPr="006D1B0B" w:rsidRDefault="00865CCB" w:rsidP="00B21316">
            <w:pPr>
              <w:pStyle w:val="Tabletext"/>
              <w:jc w:val="right"/>
              <w:rPr>
                <w:b/>
              </w:rPr>
            </w:pPr>
          </w:p>
        </w:tc>
        <w:tc>
          <w:tcPr>
            <w:tcW w:w="1134" w:type="dxa"/>
            <w:vAlign w:val="bottom"/>
          </w:tcPr>
          <w:p w14:paraId="731EB64F" w14:textId="77777777" w:rsidR="00865CCB" w:rsidRPr="006D1B0B" w:rsidRDefault="00865CCB" w:rsidP="00B21316">
            <w:pPr>
              <w:pStyle w:val="Tabletext"/>
              <w:jc w:val="right"/>
              <w:rPr>
                <w:b/>
              </w:rPr>
            </w:pPr>
          </w:p>
        </w:tc>
        <w:tc>
          <w:tcPr>
            <w:tcW w:w="988" w:type="dxa"/>
            <w:vAlign w:val="bottom"/>
          </w:tcPr>
          <w:p w14:paraId="7C44D7AD" w14:textId="77777777" w:rsidR="00865CCB" w:rsidRPr="009D70E6" w:rsidRDefault="00865CCB" w:rsidP="00B21316">
            <w:pPr>
              <w:pStyle w:val="Tabletext"/>
              <w:jc w:val="right"/>
              <w:rPr>
                <w:b/>
              </w:rPr>
            </w:pPr>
          </w:p>
        </w:tc>
        <w:tc>
          <w:tcPr>
            <w:tcW w:w="1422" w:type="dxa"/>
            <w:vAlign w:val="bottom"/>
          </w:tcPr>
          <w:p w14:paraId="78130619" w14:textId="77777777" w:rsidR="00865CCB" w:rsidRPr="00F86663" w:rsidRDefault="00865CCB" w:rsidP="00B21316">
            <w:pPr>
              <w:pStyle w:val="Tabletext"/>
              <w:jc w:val="right"/>
              <w:rPr>
                <w:b/>
              </w:rPr>
            </w:pPr>
          </w:p>
        </w:tc>
        <w:tc>
          <w:tcPr>
            <w:tcW w:w="1133" w:type="dxa"/>
            <w:vAlign w:val="bottom"/>
          </w:tcPr>
          <w:p w14:paraId="0CDDEFD6" w14:textId="77777777" w:rsidR="00865CCB" w:rsidRPr="00F86663" w:rsidRDefault="00865CCB" w:rsidP="00B21316">
            <w:pPr>
              <w:pStyle w:val="Tabletext"/>
              <w:jc w:val="right"/>
              <w:rPr>
                <w:b/>
              </w:rPr>
            </w:pPr>
          </w:p>
        </w:tc>
      </w:tr>
      <w:tr w:rsidR="00865CCB" w:rsidRPr="00716EDB" w14:paraId="036B8C61" w14:textId="77777777" w:rsidTr="004A4EB9">
        <w:tc>
          <w:tcPr>
            <w:tcW w:w="3261" w:type="dxa"/>
            <w:tcBorders>
              <w:bottom w:val="single" w:sz="4" w:space="0" w:color="93B7BB"/>
            </w:tcBorders>
          </w:tcPr>
          <w:p w14:paraId="10E03347" w14:textId="06F26BB0" w:rsidR="00865CCB" w:rsidRDefault="00865CCB" w:rsidP="008B1E5B">
            <w:pPr>
              <w:pStyle w:val="Tabletext"/>
              <w:rPr>
                <w:b/>
                <w:lang w:val="en-US" w:eastAsia="nl-NL"/>
              </w:rPr>
            </w:pPr>
            <w:r w:rsidRPr="00520CBD">
              <w:rPr>
                <w:b/>
              </w:rPr>
              <w:t>At 31 December 201</w:t>
            </w:r>
            <w:r>
              <w:rPr>
                <w:b/>
              </w:rPr>
              <w:t>5</w:t>
            </w:r>
          </w:p>
        </w:tc>
        <w:tc>
          <w:tcPr>
            <w:tcW w:w="1134" w:type="dxa"/>
            <w:tcBorders>
              <w:bottom w:val="single" w:sz="4" w:space="0" w:color="93B7BB"/>
            </w:tcBorders>
            <w:vAlign w:val="bottom"/>
          </w:tcPr>
          <w:p w14:paraId="041BE77D" w14:textId="0B79564C" w:rsidR="00865CCB" w:rsidRPr="006D1B0B" w:rsidRDefault="000C072A" w:rsidP="00B21316">
            <w:pPr>
              <w:pStyle w:val="Tabletext"/>
              <w:jc w:val="right"/>
              <w:rPr>
                <w:b/>
              </w:rPr>
            </w:pPr>
            <w:r>
              <w:rPr>
                <w:b/>
              </w:rPr>
              <w:t>550.3</w:t>
            </w:r>
          </w:p>
        </w:tc>
        <w:tc>
          <w:tcPr>
            <w:tcW w:w="1134" w:type="dxa"/>
            <w:tcBorders>
              <w:bottom w:val="single" w:sz="4" w:space="0" w:color="93B7BB"/>
            </w:tcBorders>
            <w:vAlign w:val="bottom"/>
          </w:tcPr>
          <w:p w14:paraId="3D8C5ED5" w14:textId="48F04A85" w:rsidR="00865CCB" w:rsidRPr="006D1B0B" w:rsidRDefault="000C072A" w:rsidP="00B21316">
            <w:pPr>
              <w:pStyle w:val="Tabletext"/>
              <w:jc w:val="right"/>
              <w:rPr>
                <w:b/>
              </w:rPr>
            </w:pPr>
            <w:r>
              <w:rPr>
                <w:b/>
              </w:rPr>
              <w:t>146.1</w:t>
            </w:r>
          </w:p>
        </w:tc>
        <w:tc>
          <w:tcPr>
            <w:tcW w:w="988" w:type="dxa"/>
            <w:tcBorders>
              <w:bottom w:val="single" w:sz="4" w:space="0" w:color="93B7BB"/>
            </w:tcBorders>
            <w:vAlign w:val="bottom"/>
          </w:tcPr>
          <w:p w14:paraId="4D1EE29A" w14:textId="4567B0E6" w:rsidR="00865CCB" w:rsidRPr="009D70E6" w:rsidRDefault="000C072A" w:rsidP="00B21316">
            <w:pPr>
              <w:pStyle w:val="Tabletext"/>
              <w:jc w:val="right"/>
              <w:rPr>
                <w:b/>
              </w:rPr>
            </w:pPr>
            <w:r>
              <w:rPr>
                <w:b/>
              </w:rPr>
              <w:t>160.5</w:t>
            </w:r>
          </w:p>
        </w:tc>
        <w:tc>
          <w:tcPr>
            <w:tcW w:w="1422" w:type="dxa"/>
            <w:tcBorders>
              <w:bottom w:val="single" w:sz="4" w:space="0" w:color="93B7BB"/>
            </w:tcBorders>
            <w:vAlign w:val="bottom"/>
          </w:tcPr>
          <w:p w14:paraId="34E803E4" w14:textId="35FA4691" w:rsidR="00865CCB" w:rsidRPr="00F86663" w:rsidRDefault="000C072A" w:rsidP="00B21316">
            <w:pPr>
              <w:pStyle w:val="Tabletext"/>
              <w:jc w:val="right"/>
              <w:rPr>
                <w:b/>
              </w:rPr>
            </w:pPr>
            <w:r>
              <w:rPr>
                <w:b/>
              </w:rPr>
              <w:t>38.6</w:t>
            </w:r>
          </w:p>
        </w:tc>
        <w:tc>
          <w:tcPr>
            <w:tcW w:w="1133" w:type="dxa"/>
            <w:tcBorders>
              <w:bottom w:val="single" w:sz="4" w:space="0" w:color="93B7BB"/>
            </w:tcBorders>
            <w:vAlign w:val="bottom"/>
          </w:tcPr>
          <w:p w14:paraId="43EA026B" w14:textId="5D71E870" w:rsidR="00865CCB" w:rsidRPr="00F86663" w:rsidRDefault="000C072A" w:rsidP="00B21316">
            <w:pPr>
              <w:pStyle w:val="Tabletext"/>
              <w:jc w:val="right"/>
              <w:rPr>
                <w:b/>
              </w:rPr>
            </w:pPr>
            <w:r>
              <w:rPr>
                <w:b/>
              </w:rPr>
              <w:t>895.5</w:t>
            </w:r>
          </w:p>
        </w:tc>
      </w:tr>
      <w:tr w:rsidR="00865CCB" w:rsidRPr="00716EDB" w14:paraId="2CCEB195" w14:textId="77777777" w:rsidTr="004A4EB9">
        <w:tc>
          <w:tcPr>
            <w:tcW w:w="3261" w:type="dxa"/>
            <w:tcBorders>
              <w:top w:val="single" w:sz="4" w:space="0" w:color="93B7BB"/>
              <w:bottom w:val="single" w:sz="4" w:space="0" w:color="93B7BB"/>
            </w:tcBorders>
          </w:tcPr>
          <w:p w14:paraId="6CC6F119" w14:textId="08C30F2E" w:rsidR="00865CCB" w:rsidRDefault="00865CCB" w:rsidP="008B1E5B">
            <w:pPr>
              <w:pStyle w:val="Tabletext"/>
              <w:rPr>
                <w:b/>
                <w:lang w:val="en-US" w:eastAsia="nl-NL"/>
              </w:rPr>
            </w:pPr>
            <w:r w:rsidRPr="00CE0A31">
              <w:t>At 31 December 201</w:t>
            </w:r>
            <w:r>
              <w:t>4</w:t>
            </w:r>
          </w:p>
        </w:tc>
        <w:tc>
          <w:tcPr>
            <w:tcW w:w="1134" w:type="dxa"/>
            <w:tcBorders>
              <w:top w:val="single" w:sz="4" w:space="0" w:color="93B7BB"/>
              <w:bottom w:val="single" w:sz="4" w:space="0" w:color="93B7BB"/>
            </w:tcBorders>
            <w:vAlign w:val="bottom"/>
          </w:tcPr>
          <w:p w14:paraId="271C32F6" w14:textId="6B1C2ABF" w:rsidR="00865CCB" w:rsidRPr="008B1E5B" w:rsidRDefault="00865CCB" w:rsidP="00B21316">
            <w:pPr>
              <w:pStyle w:val="Tabletext"/>
              <w:jc w:val="right"/>
            </w:pPr>
            <w:r w:rsidRPr="008B1E5B">
              <w:t>540.0</w:t>
            </w:r>
          </w:p>
        </w:tc>
        <w:tc>
          <w:tcPr>
            <w:tcW w:w="1134" w:type="dxa"/>
            <w:tcBorders>
              <w:top w:val="single" w:sz="4" w:space="0" w:color="93B7BB"/>
              <w:bottom w:val="single" w:sz="4" w:space="0" w:color="93B7BB"/>
            </w:tcBorders>
            <w:vAlign w:val="bottom"/>
          </w:tcPr>
          <w:p w14:paraId="7FDBC9FA" w14:textId="281B028F" w:rsidR="00865CCB" w:rsidRPr="008B1E5B" w:rsidRDefault="00865CCB" w:rsidP="008B1E5B">
            <w:pPr>
              <w:pStyle w:val="Tabletext"/>
              <w:jc w:val="right"/>
            </w:pPr>
            <w:r w:rsidRPr="008B1E5B">
              <w:t>1</w:t>
            </w:r>
            <w:r>
              <w:t>39</w:t>
            </w:r>
            <w:r w:rsidRPr="008B1E5B">
              <w:t>.</w:t>
            </w:r>
            <w:r>
              <w:t>8</w:t>
            </w:r>
          </w:p>
        </w:tc>
        <w:tc>
          <w:tcPr>
            <w:tcW w:w="988" w:type="dxa"/>
            <w:tcBorders>
              <w:top w:val="single" w:sz="4" w:space="0" w:color="93B7BB"/>
              <w:bottom w:val="single" w:sz="4" w:space="0" w:color="93B7BB"/>
            </w:tcBorders>
            <w:vAlign w:val="bottom"/>
          </w:tcPr>
          <w:p w14:paraId="2DE06805" w14:textId="5EB969AC" w:rsidR="00865CCB" w:rsidRPr="008B1E5B" w:rsidRDefault="00865CCB" w:rsidP="00B21316">
            <w:pPr>
              <w:pStyle w:val="Tabletext"/>
              <w:jc w:val="right"/>
            </w:pPr>
            <w:r w:rsidRPr="008B1E5B">
              <w:t>165.4</w:t>
            </w:r>
          </w:p>
        </w:tc>
        <w:tc>
          <w:tcPr>
            <w:tcW w:w="1422" w:type="dxa"/>
            <w:tcBorders>
              <w:top w:val="single" w:sz="4" w:space="0" w:color="93B7BB"/>
              <w:bottom w:val="single" w:sz="4" w:space="0" w:color="93B7BB"/>
            </w:tcBorders>
            <w:vAlign w:val="bottom"/>
          </w:tcPr>
          <w:p w14:paraId="15034662" w14:textId="0A17C327" w:rsidR="00865CCB" w:rsidRPr="008B1E5B" w:rsidRDefault="00865CCB" w:rsidP="00B21316">
            <w:pPr>
              <w:pStyle w:val="Tabletext"/>
              <w:jc w:val="right"/>
            </w:pPr>
            <w:r w:rsidRPr="008B1E5B">
              <w:t>1.4</w:t>
            </w:r>
          </w:p>
        </w:tc>
        <w:tc>
          <w:tcPr>
            <w:tcW w:w="1133" w:type="dxa"/>
            <w:tcBorders>
              <w:top w:val="single" w:sz="4" w:space="0" w:color="93B7BB"/>
              <w:bottom w:val="single" w:sz="4" w:space="0" w:color="93B7BB"/>
            </w:tcBorders>
            <w:vAlign w:val="bottom"/>
          </w:tcPr>
          <w:p w14:paraId="39AFEAC7" w14:textId="1CCDCC92" w:rsidR="00865CCB" w:rsidRPr="008B1E5B" w:rsidRDefault="00865CCB" w:rsidP="008B1E5B">
            <w:pPr>
              <w:pStyle w:val="Tabletext"/>
              <w:jc w:val="right"/>
            </w:pPr>
            <w:r w:rsidRPr="008B1E5B">
              <w:t>8</w:t>
            </w:r>
            <w:r>
              <w:t>46</w:t>
            </w:r>
            <w:r w:rsidRPr="008B1E5B">
              <w:t>.</w:t>
            </w:r>
            <w:r>
              <w:t>6</w:t>
            </w:r>
          </w:p>
        </w:tc>
      </w:tr>
      <w:tr w:rsidR="00384E7E" w:rsidRPr="00716EDB" w14:paraId="3E2E9ECD" w14:textId="77777777" w:rsidTr="004A4EB9">
        <w:tc>
          <w:tcPr>
            <w:tcW w:w="3261" w:type="dxa"/>
            <w:tcBorders>
              <w:top w:val="single" w:sz="4" w:space="0" w:color="93B7BB"/>
              <w:bottom w:val="single" w:sz="4" w:space="0" w:color="93B7BB"/>
            </w:tcBorders>
          </w:tcPr>
          <w:p w14:paraId="2F85DC6B" w14:textId="0712E81E" w:rsidR="00384E7E" w:rsidRPr="00CE0A31" w:rsidRDefault="00384E7E" w:rsidP="00384E7E">
            <w:pPr>
              <w:pStyle w:val="Tabletext"/>
            </w:pPr>
            <w:r>
              <w:t xml:space="preserve">At </w:t>
            </w:r>
            <w:r w:rsidRPr="00CE0A31">
              <w:t xml:space="preserve">1 </w:t>
            </w:r>
            <w:r>
              <w:t xml:space="preserve">January </w:t>
            </w:r>
            <w:r w:rsidRPr="00CE0A31">
              <w:t>201</w:t>
            </w:r>
            <w:r>
              <w:t>4</w:t>
            </w:r>
          </w:p>
        </w:tc>
        <w:tc>
          <w:tcPr>
            <w:tcW w:w="1134" w:type="dxa"/>
            <w:tcBorders>
              <w:top w:val="single" w:sz="4" w:space="0" w:color="93B7BB"/>
              <w:bottom w:val="single" w:sz="4" w:space="0" w:color="93B7BB"/>
            </w:tcBorders>
            <w:vAlign w:val="bottom"/>
          </w:tcPr>
          <w:p w14:paraId="3D65C5B8" w14:textId="7B5F8B28" w:rsidR="00384E7E" w:rsidRPr="008B1E5B" w:rsidRDefault="00384E7E" w:rsidP="00B21316">
            <w:pPr>
              <w:pStyle w:val="Tabletext"/>
              <w:jc w:val="right"/>
            </w:pPr>
            <w:r>
              <w:t>499.3</w:t>
            </w:r>
          </w:p>
        </w:tc>
        <w:tc>
          <w:tcPr>
            <w:tcW w:w="1134" w:type="dxa"/>
            <w:tcBorders>
              <w:top w:val="single" w:sz="4" w:space="0" w:color="93B7BB"/>
              <w:bottom w:val="single" w:sz="4" w:space="0" w:color="93B7BB"/>
            </w:tcBorders>
            <w:vAlign w:val="bottom"/>
          </w:tcPr>
          <w:p w14:paraId="045EFD50" w14:textId="1B6A6995" w:rsidR="00384E7E" w:rsidRPr="008B1E5B" w:rsidRDefault="00384E7E" w:rsidP="008B1E5B">
            <w:pPr>
              <w:pStyle w:val="Tabletext"/>
              <w:jc w:val="right"/>
            </w:pPr>
            <w:r>
              <w:t>152.6</w:t>
            </w:r>
          </w:p>
        </w:tc>
        <w:tc>
          <w:tcPr>
            <w:tcW w:w="988" w:type="dxa"/>
            <w:tcBorders>
              <w:top w:val="single" w:sz="4" w:space="0" w:color="93B7BB"/>
              <w:bottom w:val="single" w:sz="4" w:space="0" w:color="93B7BB"/>
            </w:tcBorders>
            <w:vAlign w:val="bottom"/>
          </w:tcPr>
          <w:p w14:paraId="4B2894E4" w14:textId="5C6129E8" w:rsidR="00384E7E" w:rsidRPr="008B1E5B" w:rsidRDefault="00384E7E" w:rsidP="00B21316">
            <w:pPr>
              <w:pStyle w:val="Tabletext"/>
              <w:jc w:val="right"/>
            </w:pPr>
            <w:r>
              <w:t>150.5</w:t>
            </w:r>
          </w:p>
        </w:tc>
        <w:tc>
          <w:tcPr>
            <w:tcW w:w="1422" w:type="dxa"/>
            <w:tcBorders>
              <w:top w:val="single" w:sz="4" w:space="0" w:color="93B7BB"/>
              <w:bottom w:val="single" w:sz="4" w:space="0" w:color="93B7BB"/>
            </w:tcBorders>
            <w:vAlign w:val="bottom"/>
          </w:tcPr>
          <w:p w14:paraId="6EE4DCD2" w14:textId="16918CA4" w:rsidR="00384E7E" w:rsidRPr="008B1E5B" w:rsidRDefault="00384E7E" w:rsidP="00B21316">
            <w:pPr>
              <w:pStyle w:val="Tabletext"/>
              <w:jc w:val="right"/>
            </w:pPr>
            <w:r>
              <w:t>6.2</w:t>
            </w:r>
          </w:p>
        </w:tc>
        <w:tc>
          <w:tcPr>
            <w:tcW w:w="1133" w:type="dxa"/>
            <w:tcBorders>
              <w:top w:val="single" w:sz="4" w:space="0" w:color="93B7BB"/>
              <w:bottom w:val="single" w:sz="4" w:space="0" w:color="93B7BB"/>
            </w:tcBorders>
            <w:vAlign w:val="bottom"/>
          </w:tcPr>
          <w:p w14:paraId="5CF85701" w14:textId="68CD1D82" w:rsidR="00384E7E" w:rsidRPr="008B1E5B" w:rsidRDefault="00384E7E" w:rsidP="008B1E5B">
            <w:pPr>
              <w:pStyle w:val="Tabletext"/>
              <w:jc w:val="right"/>
            </w:pPr>
            <w:r>
              <w:t>808.6</w:t>
            </w:r>
          </w:p>
        </w:tc>
      </w:tr>
    </w:tbl>
    <w:p w14:paraId="699AA159" w14:textId="77777777" w:rsidR="005B75D9" w:rsidRDefault="005B75D9" w:rsidP="0039448B">
      <w:pPr>
        <w:pStyle w:val="Footnote"/>
      </w:pPr>
    </w:p>
    <w:p w14:paraId="2FADEAF5" w14:textId="747F8DBD" w:rsidR="00004F63" w:rsidRPr="00CE0A31" w:rsidRDefault="00004F63" w:rsidP="0037625D">
      <w:pPr>
        <w:jc w:val="both"/>
      </w:pPr>
      <w:r w:rsidRPr="00CE0A31">
        <w:t>On 11 March 2014</w:t>
      </w:r>
      <w:r w:rsidR="0056611D">
        <w:t>,</w:t>
      </w:r>
      <w:r w:rsidRPr="00CE0A31">
        <w:t xml:space="preserve"> the long leasehold interest in the Spire Washington Hospital</w:t>
      </w:r>
      <w:r w:rsidR="0056611D">
        <w:t>,</w:t>
      </w:r>
      <w:r w:rsidRPr="00CE0A31">
        <w:t xml:space="preserve"> with a net book value of £12.3 million</w:t>
      </w:r>
      <w:r w:rsidR="0056611D">
        <w:t>,</w:t>
      </w:r>
      <w:r w:rsidRPr="00CE0A31">
        <w:t xml:space="preserve"> was disposed of.</w:t>
      </w:r>
    </w:p>
    <w:p w14:paraId="3E1B98EA" w14:textId="57F92124" w:rsidR="00004F63" w:rsidRDefault="00004F63" w:rsidP="0037625D">
      <w:pPr>
        <w:jc w:val="both"/>
      </w:pPr>
      <w:r w:rsidRPr="00CE0A31">
        <w:t>As at 31 December 201</w:t>
      </w:r>
      <w:r w:rsidR="00FB7CB5">
        <w:t>5</w:t>
      </w:r>
      <w:r w:rsidRPr="00CE0A31">
        <w:t xml:space="preserve">, included in the net book value of property, plant and equipment above is </w:t>
      </w:r>
      <w:r w:rsidRPr="00FB7CB5">
        <w:t>£</w:t>
      </w:r>
      <w:r w:rsidR="000C072A">
        <w:t>22.5</w:t>
      </w:r>
      <w:r w:rsidRPr="00CE0A31">
        <w:t xml:space="preserve"> million (201</w:t>
      </w:r>
      <w:r w:rsidR="0037625D">
        <w:t>4</w:t>
      </w:r>
      <w:r w:rsidR="000C072A">
        <w:t xml:space="preserve"> as restated</w:t>
      </w:r>
      <w:r w:rsidRPr="00CE0A31">
        <w:t xml:space="preserve">: </w:t>
      </w:r>
      <w:r w:rsidR="00FB7CB5" w:rsidRPr="00CE0A31">
        <w:t>£2</w:t>
      </w:r>
      <w:r w:rsidR="000C072A">
        <w:t>3</w:t>
      </w:r>
      <w:r w:rsidR="00FB7CB5" w:rsidRPr="00CE0A31">
        <w:t>.</w:t>
      </w:r>
      <w:r w:rsidR="000C072A">
        <w:t>6</w:t>
      </w:r>
      <w:r w:rsidRPr="00CE0A31">
        <w:t xml:space="preserve"> million) relating to assets held under finance leases on which there was a depreciation charge of </w:t>
      </w:r>
      <w:r w:rsidR="00FB7CB5" w:rsidRPr="00FB7CB5">
        <w:t>£</w:t>
      </w:r>
      <w:r w:rsidR="000C072A">
        <w:t>1.1</w:t>
      </w:r>
      <w:r w:rsidR="00FB7CB5" w:rsidRPr="00CE0A31">
        <w:t xml:space="preserve"> </w:t>
      </w:r>
      <w:r w:rsidRPr="00CE0A31">
        <w:t>million in the year (201</w:t>
      </w:r>
      <w:r w:rsidR="00FB7CB5">
        <w:t>4</w:t>
      </w:r>
      <w:r w:rsidRPr="00CE0A31">
        <w:t>: £1.</w:t>
      </w:r>
      <w:r w:rsidR="00FB7CB5">
        <w:t>5</w:t>
      </w:r>
      <w:r w:rsidRPr="00CE0A31">
        <w:t xml:space="preserve"> million).</w:t>
      </w:r>
    </w:p>
    <w:p w14:paraId="29565DDF" w14:textId="5CD6ADD1" w:rsidR="004A4EB9" w:rsidRPr="00066035" w:rsidRDefault="004A4EB9" w:rsidP="004A4EB9">
      <w:pPr>
        <w:pStyle w:val="Heading4"/>
      </w:pPr>
      <w:r>
        <w:t>Prior</w:t>
      </w:r>
      <w:r w:rsidRPr="00066035">
        <w:t xml:space="preserve"> </w:t>
      </w:r>
      <w:r>
        <w:t>year balance sheet restatement</w:t>
      </w:r>
    </w:p>
    <w:p w14:paraId="46DF51C3" w14:textId="63ACF6B8" w:rsidR="004A4EB9" w:rsidRDefault="004A4EB9" w:rsidP="0037625D">
      <w:pPr>
        <w:jc w:val="both"/>
      </w:pPr>
      <w:r w:rsidRPr="00AB3C4C">
        <w:rPr>
          <w:iCs/>
        </w:rPr>
        <w:t>The carrying amount of long leasehold property at 31 December 2014 has been restated from £14</w:t>
      </w:r>
      <w:r>
        <w:rPr>
          <w:iCs/>
        </w:rPr>
        <w:t>5</w:t>
      </w:r>
      <w:r w:rsidRPr="00AB3C4C">
        <w:rPr>
          <w:iCs/>
        </w:rPr>
        <w:t>.</w:t>
      </w:r>
      <w:r>
        <w:rPr>
          <w:iCs/>
        </w:rPr>
        <w:t xml:space="preserve">1 </w:t>
      </w:r>
      <w:r w:rsidRPr="00AB3C4C">
        <w:rPr>
          <w:iCs/>
        </w:rPr>
        <w:t>m</w:t>
      </w:r>
      <w:r>
        <w:rPr>
          <w:iCs/>
        </w:rPr>
        <w:t>illion</w:t>
      </w:r>
      <w:r w:rsidRPr="00AB3C4C">
        <w:rPr>
          <w:iCs/>
        </w:rPr>
        <w:t xml:space="preserve"> to £1</w:t>
      </w:r>
      <w:r>
        <w:rPr>
          <w:iCs/>
        </w:rPr>
        <w:t>39</w:t>
      </w:r>
      <w:r w:rsidRPr="00AB3C4C">
        <w:rPr>
          <w:iCs/>
        </w:rPr>
        <w:t>.</w:t>
      </w:r>
      <w:r>
        <w:rPr>
          <w:iCs/>
        </w:rPr>
        <w:t xml:space="preserve">8 </w:t>
      </w:r>
      <w:r w:rsidRPr="00AB3C4C">
        <w:rPr>
          <w:iCs/>
        </w:rPr>
        <w:t>m</w:t>
      </w:r>
      <w:r>
        <w:rPr>
          <w:iCs/>
        </w:rPr>
        <w:t>illion</w:t>
      </w:r>
      <w:r w:rsidRPr="00AB3C4C">
        <w:rPr>
          <w:iCs/>
        </w:rPr>
        <w:t>, with an equivalent £</w:t>
      </w:r>
      <w:r>
        <w:rPr>
          <w:iCs/>
        </w:rPr>
        <w:t>5</w:t>
      </w:r>
      <w:r w:rsidRPr="00AB3C4C">
        <w:rPr>
          <w:iCs/>
        </w:rPr>
        <w:t>.</w:t>
      </w:r>
      <w:r>
        <w:rPr>
          <w:iCs/>
        </w:rPr>
        <w:t xml:space="preserve">0 </w:t>
      </w:r>
      <w:r w:rsidRPr="00AB3C4C">
        <w:rPr>
          <w:iCs/>
        </w:rPr>
        <w:t>m</w:t>
      </w:r>
      <w:r>
        <w:rPr>
          <w:iCs/>
        </w:rPr>
        <w:t>illion</w:t>
      </w:r>
      <w:r w:rsidRPr="00AB3C4C">
        <w:rPr>
          <w:iCs/>
        </w:rPr>
        <w:t xml:space="preserve"> </w:t>
      </w:r>
      <w:r>
        <w:rPr>
          <w:iCs/>
        </w:rPr>
        <w:t xml:space="preserve">(£5.3 million less £0.3 million deferred tax impact) </w:t>
      </w:r>
      <w:r w:rsidRPr="00AB3C4C">
        <w:rPr>
          <w:iCs/>
        </w:rPr>
        <w:t>adjustment to equity. This is the result of a correction to the initial measurement of certain of the associated lease liabilities</w:t>
      </w:r>
      <w:r>
        <w:rPr>
          <w:iCs/>
        </w:rPr>
        <w:t>, from their inception in January 2010,</w:t>
      </w:r>
      <w:r w:rsidRPr="00AB3C4C">
        <w:rPr>
          <w:iCs/>
        </w:rPr>
        <w:t xml:space="preserve"> to account for all minimum annual increases in the rental payable under those leases and a consequential reassessment of the appropriate discount rate (see also note 1</w:t>
      </w:r>
      <w:r w:rsidR="00FE374A">
        <w:rPr>
          <w:iCs/>
        </w:rPr>
        <w:t>6</w:t>
      </w:r>
      <w:r w:rsidRPr="00AB3C4C">
        <w:rPr>
          <w:iCs/>
        </w:rPr>
        <w:t>). There is no material resultant change to the income statements for any of the periods presented</w:t>
      </w:r>
      <w:r>
        <w:rPr>
          <w:iCs/>
        </w:rPr>
        <w:t>.</w:t>
      </w:r>
    </w:p>
    <w:p w14:paraId="005072F2" w14:textId="77777777" w:rsidR="004A4EB9" w:rsidRPr="00CE0A31" w:rsidRDefault="004A4EB9" w:rsidP="0037625D">
      <w:pPr>
        <w:jc w:val="both"/>
      </w:pPr>
    </w:p>
    <w:p w14:paraId="238881E1" w14:textId="77777777" w:rsidR="0039448B" w:rsidRDefault="0039448B">
      <w:pPr>
        <w:spacing w:after="160" w:line="259" w:lineRule="auto"/>
        <w:rPr>
          <w:rFonts w:asciiTheme="majorHAnsi" w:eastAsiaTheme="majorEastAsia" w:hAnsiTheme="majorHAnsi" w:cstheme="majorBidi"/>
          <w:b/>
          <w:caps/>
          <w:color w:val="93B6BB"/>
          <w:szCs w:val="24"/>
        </w:rPr>
      </w:pPr>
      <w:r>
        <w:br w:type="page"/>
      </w:r>
    </w:p>
    <w:p w14:paraId="43C60FAA" w14:textId="5CBEEC9F" w:rsidR="00004F63" w:rsidRPr="00CE0A31" w:rsidRDefault="00364452" w:rsidP="00364452">
      <w:pPr>
        <w:pStyle w:val="Heading3"/>
      </w:pPr>
      <w:r>
        <w:lastRenderedPageBreak/>
        <w:t xml:space="preserve">15. </w:t>
      </w:r>
      <w:r w:rsidR="00004F63" w:rsidRPr="00CE0A31">
        <w:t>Trade and other receivables</w:t>
      </w:r>
    </w:p>
    <w:tbl>
      <w:tblPr>
        <w:tblW w:w="9072" w:type="dxa"/>
        <w:tblLayout w:type="fixed"/>
        <w:tblCellMar>
          <w:left w:w="0" w:type="dxa"/>
          <w:right w:w="57" w:type="dxa"/>
        </w:tblCellMar>
        <w:tblLook w:val="0000" w:firstRow="0" w:lastRow="0" w:firstColumn="0" w:lastColumn="0" w:noHBand="0" w:noVBand="0"/>
      </w:tblPr>
      <w:tblGrid>
        <w:gridCol w:w="6467"/>
        <w:gridCol w:w="1155"/>
        <w:gridCol w:w="1450"/>
      </w:tblGrid>
      <w:tr w:rsidR="00FF6CEF" w:rsidRPr="00CE0A31" w14:paraId="6D18CFF0" w14:textId="77777777" w:rsidTr="004E3C15">
        <w:tc>
          <w:tcPr>
            <w:tcW w:w="6467" w:type="dxa"/>
            <w:tcBorders>
              <w:bottom w:val="single" w:sz="4" w:space="0" w:color="93B7BB"/>
            </w:tcBorders>
            <w:vAlign w:val="bottom"/>
          </w:tcPr>
          <w:p w14:paraId="73A65F62" w14:textId="77777777" w:rsidR="00FF6CEF" w:rsidRPr="00520CBD" w:rsidRDefault="00FF6CEF" w:rsidP="004E3C15">
            <w:pPr>
              <w:pStyle w:val="Tableheading"/>
            </w:pPr>
            <w:r w:rsidRPr="00520CBD">
              <w:t>(£ million)</w:t>
            </w:r>
          </w:p>
        </w:tc>
        <w:tc>
          <w:tcPr>
            <w:tcW w:w="1155" w:type="dxa"/>
            <w:tcBorders>
              <w:bottom w:val="single" w:sz="4" w:space="0" w:color="93B7BB"/>
            </w:tcBorders>
            <w:vAlign w:val="bottom"/>
          </w:tcPr>
          <w:p w14:paraId="50A62DC8" w14:textId="77777777" w:rsidR="00FF6CEF" w:rsidRPr="00520CBD" w:rsidRDefault="00FF6CEF" w:rsidP="004E3C15">
            <w:pPr>
              <w:pStyle w:val="Tableheading"/>
              <w:jc w:val="right"/>
              <w:rPr>
                <w:b/>
              </w:rPr>
            </w:pPr>
            <w:r w:rsidRPr="00520CBD">
              <w:rPr>
                <w:b/>
              </w:rPr>
              <w:t>201</w:t>
            </w:r>
            <w:r>
              <w:rPr>
                <w:b/>
              </w:rPr>
              <w:t>5</w:t>
            </w:r>
          </w:p>
        </w:tc>
        <w:tc>
          <w:tcPr>
            <w:tcW w:w="1450" w:type="dxa"/>
            <w:tcBorders>
              <w:bottom w:val="single" w:sz="4" w:space="0" w:color="93B7BB"/>
            </w:tcBorders>
            <w:vAlign w:val="bottom"/>
          </w:tcPr>
          <w:p w14:paraId="1237432D" w14:textId="77777777" w:rsidR="00FF6CEF" w:rsidRPr="00520CBD" w:rsidRDefault="00FF6CEF" w:rsidP="004E3C15">
            <w:pPr>
              <w:pStyle w:val="Tableheading"/>
              <w:jc w:val="right"/>
            </w:pPr>
            <w:r w:rsidRPr="00520CBD">
              <w:t>201</w:t>
            </w:r>
            <w:r>
              <w:t>4</w:t>
            </w:r>
          </w:p>
        </w:tc>
      </w:tr>
      <w:tr w:rsidR="00FF6CEF" w:rsidRPr="00CE0A31" w14:paraId="5A365DC6" w14:textId="77777777" w:rsidTr="004E3C15">
        <w:tc>
          <w:tcPr>
            <w:tcW w:w="6467" w:type="dxa"/>
            <w:tcBorders>
              <w:top w:val="single" w:sz="4" w:space="0" w:color="93B7BB"/>
            </w:tcBorders>
          </w:tcPr>
          <w:p w14:paraId="6BEE2C09" w14:textId="2B18F439" w:rsidR="00FF6CEF" w:rsidRPr="00CE0A31" w:rsidRDefault="00FF6CEF" w:rsidP="004E3C15">
            <w:pPr>
              <w:pStyle w:val="Tabletext"/>
            </w:pPr>
            <w:r w:rsidRPr="00520CBD">
              <w:rPr>
                <w:b/>
              </w:rPr>
              <w:t xml:space="preserve">Amounts falling due within one year: </w:t>
            </w:r>
          </w:p>
        </w:tc>
        <w:tc>
          <w:tcPr>
            <w:tcW w:w="1155" w:type="dxa"/>
            <w:tcBorders>
              <w:top w:val="single" w:sz="4" w:space="0" w:color="93B7BB"/>
            </w:tcBorders>
            <w:shd w:val="clear" w:color="auto" w:fill="EFF4F5"/>
            <w:vAlign w:val="bottom"/>
          </w:tcPr>
          <w:p w14:paraId="2B1C4D3B" w14:textId="1FC216B1" w:rsidR="00FF6CEF" w:rsidRPr="00520CBD" w:rsidRDefault="00FF6CEF" w:rsidP="004E3C15">
            <w:pPr>
              <w:pStyle w:val="Tabletext"/>
              <w:jc w:val="right"/>
              <w:rPr>
                <w:b/>
              </w:rPr>
            </w:pPr>
          </w:p>
        </w:tc>
        <w:tc>
          <w:tcPr>
            <w:tcW w:w="1450" w:type="dxa"/>
            <w:tcBorders>
              <w:top w:val="single" w:sz="4" w:space="0" w:color="93B7BB"/>
            </w:tcBorders>
            <w:vAlign w:val="bottom"/>
          </w:tcPr>
          <w:p w14:paraId="77CBA2ED" w14:textId="3CF86186" w:rsidR="00FF6CEF" w:rsidRPr="00E63821" w:rsidRDefault="00FF6CEF" w:rsidP="004E3C15">
            <w:pPr>
              <w:pStyle w:val="Tabletext"/>
              <w:jc w:val="right"/>
            </w:pPr>
          </w:p>
        </w:tc>
      </w:tr>
      <w:tr w:rsidR="00FF6CEF" w:rsidRPr="00CE0A31" w14:paraId="206822B9" w14:textId="77777777" w:rsidTr="004E3C15">
        <w:tc>
          <w:tcPr>
            <w:tcW w:w="6467" w:type="dxa"/>
            <w:vAlign w:val="bottom"/>
          </w:tcPr>
          <w:p w14:paraId="72B8628C" w14:textId="6A477963" w:rsidR="00FF6CEF" w:rsidRPr="00CE0A31" w:rsidRDefault="00FF6CEF" w:rsidP="004E3C15">
            <w:pPr>
              <w:pStyle w:val="Tabletext"/>
            </w:pPr>
            <w:r w:rsidRPr="00CE0A31">
              <w:t xml:space="preserve">Trade receivables </w:t>
            </w:r>
            <w:r w:rsidRPr="00716EDB">
              <w:t>–</w:t>
            </w:r>
            <w:r>
              <w:t xml:space="preserve"> net</w:t>
            </w:r>
          </w:p>
        </w:tc>
        <w:tc>
          <w:tcPr>
            <w:tcW w:w="1155" w:type="dxa"/>
            <w:shd w:val="clear" w:color="auto" w:fill="EFF4F5"/>
            <w:vAlign w:val="bottom"/>
          </w:tcPr>
          <w:p w14:paraId="26A98B19" w14:textId="67380D64" w:rsidR="00FF6CEF" w:rsidRPr="00520CBD" w:rsidRDefault="00FF6CEF" w:rsidP="004E3C15">
            <w:pPr>
              <w:pStyle w:val="Tabletext"/>
              <w:jc w:val="right"/>
              <w:rPr>
                <w:b/>
              </w:rPr>
            </w:pPr>
            <w:r>
              <w:rPr>
                <w:b/>
              </w:rPr>
              <w:t>95.7</w:t>
            </w:r>
          </w:p>
        </w:tc>
        <w:tc>
          <w:tcPr>
            <w:tcW w:w="1450" w:type="dxa"/>
            <w:vAlign w:val="bottom"/>
          </w:tcPr>
          <w:p w14:paraId="514A09D5" w14:textId="389A333F" w:rsidR="00FF6CEF" w:rsidRPr="00E63821" w:rsidRDefault="00FF6CEF" w:rsidP="004E3C15">
            <w:pPr>
              <w:pStyle w:val="Tabletext"/>
              <w:jc w:val="right"/>
            </w:pPr>
            <w:r w:rsidRPr="00AD432A">
              <w:t>108.0</w:t>
            </w:r>
          </w:p>
        </w:tc>
      </w:tr>
      <w:tr w:rsidR="00FF6CEF" w:rsidRPr="00CE0A31" w14:paraId="0BD44815" w14:textId="77777777" w:rsidTr="004E3C15">
        <w:tc>
          <w:tcPr>
            <w:tcW w:w="6467" w:type="dxa"/>
            <w:vAlign w:val="bottom"/>
          </w:tcPr>
          <w:p w14:paraId="5608CDBA" w14:textId="11225C6C" w:rsidR="00FF6CEF" w:rsidRPr="00CE0A31" w:rsidRDefault="00FF6CEF" w:rsidP="004E3C15">
            <w:pPr>
              <w:pStyle w:val="Tabletext"/>
            </w:pPr>
            <w:r w:rsidRPr="00CE0A31">
              <w:t xml:space="preserve">Other receivables </w:t>
            </w:r>
          </w:p>
        </w:tc>
        <w:tc>
          <w:tcPr>
            <w:tcW w:w="1155" w:type="dxa"/>
            <w:shd w:val="clear" w:color="auto" w:fill="EFF4F5"/>
            <w:vAlign w:val="bottom"/>
          </w:tcPr>
          <w:p w14:paraId="2AC92D17" w14:textId="741CB0C4" w:rsidR="00FF6CEF" w:rsidRPr="00520CBD" w:rsidRDefault="008C0BE7" w:rsidP="008C0BE7">
            <w:pPr>
              <w:pStyle w:val="Tabletext"/>
              <w:jc w:val="right"/>
              <w:rPr>
                <w:b/>
              </w:rPr>
            </w:pPr>
            <w:r>
              <w:rPr>
                <w:b/>
              </w:rPr>
              <w:t>10</w:t>
            </w:r>
            <w:r w:rsidR="00FF6CEF">
              <w:rPr>
                <w:b/>
              </w:rPr>
              <w:t>.</w:t>
            </w:r>
            <w:r>
              <w:rPr>
                <w:b/>
              </w:rPr>
              <w:t>2</w:t>
            </w:r>
          </w:p>
        </w:tc>
        <w:tc>
          <w:tcPr>
            <w:tcW w:w="1450" w:type="dxa"/>
            <w:vAlign w:val="bottom"/>
          </w:tcPr>
          <w:p w14:paraId="02D3A101" w14:textId="6B3937A9" w:rsidR="00FF6CEF" w:rsidRPr="00E63821" w:rsidRDefault="00FF6CEF" w:rsidP="004E3C15">
            <w:pPr>
              <w:pStyle w:val="Tabletext"/>
              <w:jc w:val="right"/>
            </w:pPr>
            <w:r w:rsidRPr="00AD432A">
              <w:t>4.0</w:t>
            </w:r>
          </w:p>
        </w:tc>
      </w:tr>
      <w:tr w:rsidR="00FF6CEF" w:rsidRPr="00CE0A31" w14:paraId="3CE114C7" w14:textId="77777777" w:rsidTr="004E3C15">
        <w:tc>
          <w:tcPr>
            <w:tcW w:w="6467" w:type="dxa"/>
            <w:tcBorders>
              <w:bottom w:val="single" w:sz="4" w:space="0" w:color="93B7BB"/>
            </w:tcBorders>
            <w:vAlign w:val="bottom"/>
          </w:tcPr>
          <w:p w14:paraId="69DE0141" w14:textId="324C827B" w:rsidR="00FF6CEF" w:rsidRPr="00CE0A31" w:rsidRDefault="00FF6CEF" w:rsidP="004E3C15">
            <w:pPr>
              <w:pStyle w:val="Tabletext"/>
            </w:pPr>
            <w:r w:rsidRPr="00CE0A31">
              <w:t xml:space="preserve">Prepayments </w:t>
            </w:r>
          </w:p>
        </w:tc>
        <w:tc>
          <w:tcPr>
            <w:tcW w:w="1155" w:type="dxa"/>
            <w:tcBorders>
              <w:bottom w:val="single" w:sz="4" w:space="0" w:color="93B7BB"/>
            </w:tcBorders>
            <w:shd w:val="clear" w:color="auto" w:fill="EFF4F5"/>
            <w:vAlign w:val="bottom"/>
          </w:tcPr>
          <w:p w14:paraId="04E31138" w14:textId="1B068214" w:rsidR="00FF6CEF" w:rsidRPr="00520CBD" w:rsidRDefault="00FF6CEF" w:rsidP="004E3C15">
            <w:pPr>
              <w:pStyle w:val="Tabletext"/>
              <w:jc w:val="right"/>
              <w:rPr>
                <w:b/>
              </w:rPr>
            </w:pPr>
            <w:r>
              <w:rPr>
                <w:b/>
              </w:rPr>
              <w:t>28.8</w:t>
            </w:r>
          </w:p>
        </w:tc>
        <w:tc>
          <w:tcPr>
            <w:tcW w:w="1450" w:type="dxa"/>
            <w:tcBorders>
              <w:bottom w:val="single" w:sz="4" w:space="0" w:color="93B7BB"/>
            </w:tcBorders>
            <w:vAlign w:val="bottom"/>
          </w:tcPr>
          <w:p w14:paraId="16184A24" w14:textId="4A505052" w:rsidR="00FF6CEF" w:rsidRPr="00E63821" w:rsidRDefault="00FF6CEF" w:rsidP="004E3C15">
            <w:pPr>
              <w:pStyle w:val="Tabletext"/>
              <w:jc w:val="right"/>
            </w:pPr>
            <w:r w:rsidRPr="00AD432A">
              <w:t>27.9</w:t>
            </w:r>
          </w:p>
        </w:tc>
      </w:tr>
      <w:tr w:rsidR="00FF6CEF" w:rsidRPr="00CE0A31" w14:paraId="517671C6" w14:textId="77777777" w:rsidTr="004E3C15">
        <w:tc>
          <w:tcPr>
            <w:tcW w:w="6467" w:type="dxa"/>
            <w:tcBorders>
              <w:top w:val="single" w:sz="4" w:space="0" w:color="93B7BB"/>
              <w:bottom w:val="single" w:sz="4" w:space="0" w:color="93B7BB"/>
            </w:tcBorders>
            <w:vAlign w:val="bottom"/>
          </w:tcPr>
          <w:p w14:paraId="21E6FDFF" w14:textId="3C36896B" w:rsidR="00FF6CEF" w:rsidRPr="00CE0A31" w:rsidRDefault="00FF6CEF" w:rsidP="004E3C15">
            <w:pPr>
              <w:pStyle w:val="Tabletext"/>
            </w:pPr>
          </w:p>
        </w:tc>
        <w:tc>
          <w:tcPr>
            <w:tcW w:w="1155" w:type="dxa"/>
            <w:tcBorders>
              <w:top w:val="single" w:sz="4" w:space="0" w:color="93B7BB"/>
              <w:bottom w:val="single" w:sz="4" w:space="0" w:color="93B7BB"/>
            </w:tcBorders>
            <w:shd w:val="clear" w:color="auto" w:fill="EFF4F5"/>
            <w:vAlign w:val="bottom"/>
          </w:tcPr>
          <w:p w14:paraId="35AAE219" w14:textId="213D0CD4" w:rsidR="00FF6CEF" w:rsidRPr="00520CBD" w:rsidRDefault="00FF6CEF" w:rsidP="008C0BE7">
            <w:pPr>
              <w:pStyle w:val="Tabletext"/>
              <w:jc w:val="right"/>
              <w:rPr>
                <w:b/>
              </w:rPr>
            </w:pPr>
            <w:r>
              <w:rPr>
                <w:b/>
              </w:rPr>
              <w:t>1</w:t>
            </w:r>
            <w:r w:rsidR="008C0BE7">
              <w:rPr>
                <w:b/>
              </w:rPr>
              <w:t>34</w:t>
            </w:r>
            <w:r>
              <w:rPr>
                <w:b/>
              </w:rPr>
              <w:t>.</w:t>
            </w:r>
            <w:r w:rsidR="008C0BE7">
              <w:rPr>
                <w:b/>
              </w:rPr>
              <w:t>7</w:t>
            </w:r>
          </w:p>
        </w:tc>
        <w:tc>
          <w:tcPr>
            <w:tcW w:w="1450" w:type="dxa"/>
            <w:tcBorders>
              <w:top w:val="single" w:sz="4" w:space="0" w:color="93B7BB"/>
              <w:bottom w:val="single" w:sz="4" w:space="0" w:color="93B7BB"/>
            </w:tcBorders>
            <w:vAlign w:val="bottom"/>
          </w:tcPr>
          <w:p w14:paraId="77B0B757" w14:textId="11A9DFB8" w:rsidR="00FF6CEF" w:rsidRPr="00E63821" w:rsidRDefault="00FF6CEF" w:rsidP="004E3C15">
            <w:pPr>
              <w:pStyle w:val="Tabletext"/>
              <w:jc w:val="right"/>
            </w:pPr>
            <w:r w:rsidRPr="00AD432A">
              <w:t>139.9</w:t>
            </w:r>
          </w:p>
        </w:tc>
      </w:tr>
    </w:tbl>
    <w:p w14:paraId="5C243231" w14:textId="77777777" w:rsidR="00FF6CEF" w:rsidRDefault="00FF6CEF" w:rsidP="00FF6CEF">
      <w:pPr>
        <w:pStyle w:val="Footnote"/>
      </w:pPr>
    </w:p>
    <w:p w14:paraId="5AF84BE6" w14:textId="6B1B1F60" w:rsidR="00004F63" w:rsidRPr="00CE0A31" w:rsidRDefault="00004F63" w:rsidP="00E63821">
      <w:pPr>
        <w:jc w:val="both"/>
      </w:pPr>
      <w:r w:rsidRPr="00CE0A31">
        <w:t xml:space="preserve">Trade receivables comprise amounts due from </w:t>
      </w:r>
      <w:r w:rsidR="00024CF0">
        <w:t>p</w:t>
      </w:r>
      <w:r w:rsidRPr="00CE0A31">
        <w:t xml:space="preserve">rivate </w:t>
      </w:r>
      <w:r w:rsidR="00024CF0">
        <w:t>m</w:t>
      </w:r>
      <w:r w:rsidRPr="00CE0A31">
        <w:t xml:space="preserve">edical </w:t>
      </w:r>
      <w:r w:rsidR="00024CF0">
        <w:t>i</w:t>
      </w:r>
      <w:r w:rsidRPr="00CE0A31">
        <w:t>nsurers, the NHS, patients, and consultants and other third parties who use the Group’s facilities. Invoices to customers fall due within 60 days of the date of issue. Some of the agreements with NHS customers operate on the basis of monthly payments on account with quarterly reconciliations</w:t>
      </w:r>
      <w:r w:rsidR="0056611D">
        <w:t>,</w:t>
      </w:r>
      <w:r w:rsidRPr="00CE0A31">
        <w:t xml:space="preserve"> which can lead to invoices being paid after their due date. </w:t>
      </w:r>
    </w:p>
    <w:p w14:paraId="02848D67" w14:textId="77777777" w:rsidR="00004F63" w:rsidRPr="00CE0A31" w:rsidRDefault="00004F63" w:rsidP="00E63821">
      <w:pPr>
        <w:jc w:val="both"/>
      </w:pPr>
      <w:r w:rsidRPr="00CE0A31">
        <w:t>The ageing of trade receivables is shown below and shows amounts that are past due at the reporting date. A provision for doubtful receivables has been recognised at the reporting date through consideration of the ageing profile of the Group’s receivables and the perceived credit quality of its customers. The carrying amount of trade receivables is considered to be an approximation to its fair value.</w:t>
      </w:r>
    </w:p>
    <w:p w14:paraId="3231498A" w14:textId="77777777" w:rsidR="00004F63" w:rsidRPr="00CE0A31" w:rsidRDefault="00004F63" w:rsidP="00520CBD">
      <w:r w:rsidRPr="00CE0A31">
        <w:t>The ageing of trade receivables at the reporting date was:</w:t>
      </w:r>
    </w:p>
    <w:tbl>
      <w:tblPr>
        <w:tblW w:w="9072" w:type="dxa"/>
        <w:tblLayout w:type="fixed"/>
        <w:tblCellMar>
          <w:left w:w="0" w:type="dxa"/>
          <w:right w:w="57" w:type="dxa"/>
        </w:tblCellMar>
        <w:tblLook w:val="0000" w:firstRow="0" w:lastRow="0" w:firstColumn="0" w:lastColumn="0" w:noHBand="0" w:noVBand="0"/>
      </w:tblPr>
      <w:tblGrid>
        <w:gridCol w:w="6467"/>
        <w:gridCol w:w="1155"/>
        <w:gridCol w:w="1450"/>
      </w:tblGrid>
      <w:tr w:rsidR="00CE0A31" w:rsidRPr="00CE0A31" w14:paraId="443C56AF" w14:textId="77777777" w:rsidTr="005A27EF">
        <w:tc>
          <w:tcPr>
            <w:tcW w:w="6467" w:type="dxa"/>
            <w:tcBorders>
              <w:bottom w:val="single" w:sz="4" w:space="0" w:color="93B7BB"/>
            </w:tcBorders>
            <w:vAlign w:val="bottom"/>
          </w:tcPr>
          <w:p w14:paraId="27DEF18D" w14:textId="77777777" w:rsidR="00004F63" w:rsidRPr="00520CBD" w:rsidRDefault="00520CBD" w:rsidP="00520CBD">
            <w:pPr>
              <w:pStyle w:val="Tableheading"/>
            </w:pPr>
            <w:r w:rsidRPr="00520CBD">
              <w:t>(£ million)</w:t>
            </w:r>
          </w:p>
        </w:tc>
        <w:tc>
          <w:tcPr>
            <w:tcW w:w="1155" w:type="dxa"/>
            <w:tcBorders>
              <w:bottom w:val="single" w:sz="4" w:space="0" w:color="93B7BB"/>
            </w:tcBorders>
            <w:vAlign w:val="bottom"/>
          </w:tcPr>
          <w:p w14:paraId="2EE58477" w14:textId="1FCA729E" w:rsidR="00004F63" w:rsidRPr="00520CBD" w:rsidRDefault="00004F63" w:rsidP="00E63821">
            <w:pPr>
              <w:pStyle w:val="Tableheading"/>
              <w:jc w:val="right"/>
              <w:rPr>
                <w:b/>
              </w:rPr>
            </w:pPr>
            <w:r w:rsidRPr="00520CBD">
              <w:rPr>
                <w:b/>
              </w:rPr>
              <w:t>201</w:t>
            </w:r>
            <w:r w:rsidR="00E63821">
              <w:rPr>
                <w:b/>
              </w:rPr>
              <w:t>5</w:t>
            </w:r>
          </w:p>
        </w:tc>
        <w:tc>
          <w:tcPr>
            <w:tcW w:w="1450" w:type="dxa"/>
            <w:tcBorders>
              <w:bottom w:val="single" w:sz="4" w:space="0" w:color="93B7BB"/>
            </w:tcBorders>
            <w:vAlign w:val="bottom"/>
          </w:tcPr>
          <w:p w14:paraId="3617A5B1" w14:textId="59F06BF5" w:rsidR="00004F63" w:rsidRPr="00520CBD" w:rsidRDefault="00004F63" w:rsidP="00E63821">
            <w:pPr>
              <w:pStyle w:val="Tableheading"/>
              <w:jc w:val="right"/>
            </w:pPr>
            <w:r w:rsidRPr="00520CBD">
              <w:t>201</w:t>
            </w:r>
            <w:r w:rsidR="00E63821">
              <w:t>4</w:t>
            </w:r>
          </w:p>
        </w:tc>
      </w:tr>
      <w:tr w:rsidR="00E63821" w:rsidRPr="00CE0A31" w14:paraId="1B364A66" w14:textId="77777777" w:rsidTr="005A27EF">
        <w:tc>
          <w:tcPr>
            <w:tcW w:w="6467" w:type="dxa"/>
            <w:tcBorders>
              <w:top w:val="single" w:sz="4" w:space="0" w:color="93B7BB"/>
            </w:tcBorders>
            <w:vAlign w:val="bottom"/>
          </w:tcPr>
          <w:p w14:paraId="59D65A2E" w14:textId="75CE7A27" w:rsidR="00E63821" w:rsidRPr="00CE0A31" w:rsidRDefault="00C92139" w:rsidP="00C92139">
            <w:pPr>
              <w:pStyle w:val="Tabletext"/>
            </w:pPr>
            <w:r>
              <w:t>Not past due and ne</w:t>
            </w:r>
            <w:r w:rsidR="00E63821" w:rsidRPr="00CE0A31">
              <w:t xml:space="preserve">t </w:t>
            </w:r>
            <w:r>
              <w:t xml:space="preserve">of </w:t>
            </w:r>
            <w:r w:rsidR="00E63821" w:rsidRPr="00CE0A31">
              <w:t>impair</w:t>
            </w:r>
            <w:r>
              <w:t>m</w:t>
            </w:r>
            <w:r w:rsidR="00E63821" w:rsidRPr="00CE0A31">
              <w:t>e</w:t>
            </w:r>
            <w:r>
              <w:t>nt</w:t>
            </w:r>
          </w:p>
        </w:tc>
        <w:tc>
          <w:tcPr>
            <w:tcW w:w="1155" w:type="dxa"/>
            <w:tcBorders>
              <w:top w:val="single" w:sz="4" w:space="0" w:color="93B7BB"/>
            </w:tcBorders>
            <w:shd w:val="clear" w:color="auto" w:fill="EFF4F5"/>
            <w:vAlign w:val="bottom"/>
          </w:tcPr>
          <w:p w14:paraId="0F4E720D" w14:textId="436E1676" w:rsidR="00E63821" w:rsidRPr="00520CBD" w:rsidRDefault="00C92139" w:rsidP="00520CBD">
            <w:pPr>
              <w:pStyle w:val="Tabletext"/>
              <w:jc w:val="right"/>
              <w:rPr>
                <w:b/>
              </w:rPr>
            </w:pPr>
            <w:r>
              <w:rPr>
                <w:b/>
              </w:rPr>
              <w:t>57.1</w:t>
            </w:r>
          </w:p>
        </w:tc>
        <w:tc>
          <w:tcPr>
            <w:tcW w:w="1450" w:type="dxa"/>
            <w:tcBorders>
              <w:top w:val="single" w:sz="4" w:space="0" w:color="93B7BB"/>
            </w:tcBorders>
            <w:vAlign w:val="bottom"/>
          </w:tcPr>
          <w:p w14:paraId="4F7A204F" w14:textId="756E6049" w:rsidR="00E63821" w:rsidRPr="00E63821" w:rsidRDefault="00E63821" w:rsidP="00520CBD">
            <w:pPr>
              <w:pStyle w:val="Tabletext"/>
              <w:jc w:val="right"/>
            </w:pPr>
            <w:r w:rsidRPr="00E63821">
              <w:t>62.0</w:t>
            </w:r>
          </w:p>
        </w:tc>
      </w:tr>
      <w:tr w:rsidR="00E63821" w:rsidRPr="00CE0A31" w14:paraId="58CE991A" w14:textId="77777777" w:rsidTr="005A27EF">
        <w:tc>
          <w:tcPr>
            <w:tcW w:w="6467" w:type="dxa"/>
            <w:vAlign w:val="bottom"/>
          </w:tcPr>
          <w:p w14:paraId="0CD0DA6A" w14:textId="4FD0B158" w:rsidR="00E63821" w:rsidRPr="00CE0A31" w:rsidRDefault="00E63821" w:rsidP="00520CBD">
            <w:pPr>
              <w:pStyle w:val="Tabletext"/>
            </w:pPr>
            <w:r w:rsidRPr="00CE0A31">
              <w:t xml:space="preserve">Past due 0–30 days, </w:t>
            </w:r>
            <w:r w:rsidR="00C92139">
              <w:t>ne</w:t>
            </w:r>
            <w:r w:rsidR="00C92139" w:rsidRPr="00CE0A31">
              <w:t xml:space="preserve">t </w:t>
            </w:r>
            <w:r w:rsidR="00C92139">
              <w:t xml:space="preserve">of </w:t>
            </w:r>
            <w:r w:rsidR="00C92139" w:rsidRPr="00CE0A31">
              <w:t>impair</w:t>
            </w:r>
            <w:r w:rsidR="00C92139">
              <w:t>m</w:t>
            </w:r>
            <w:r w:rsidR="00C92139" w:rsidRPr="00CE0A31">
              <w:t>e</w:t>
            </w:r>
            <w:r w:rsidR="00C92139">
              <w:t>nt</w:t>
            </w:r>
          </w:p>
        </w:tc>
        <w:tc>
          <w:tcPr>
            <w:tcW w:w="1155" w:type="dxa"/>
            <w:shd w:val="clear" w:color="auto" w:fill="EFF4F5"/>
            <w:vAlign w:val="bottom"/>
          </w:tcPr>
          <w:p w14:paraId="4357C031" w14:textId="716095D7" w:rsidR="00E63821" w:rsidRPr="00520CBD" w:rsidRDefault="00C92139" w:rsidP="00520CBD">
            <w:pPr>
              <w:pStyle w:val="Tabletext"/>
              <w:jc w:val="right"/>
              <w:rPr>
                <w:b/>
              </w:rPr>
            </w:pPr>
            <w:r>
              <w:rPr>
                <w:b/>
              </w:rPr>
              <w:t>17.0</w:t>
            </w:r>
          </w:p>
        </w:tc>
        <w:tc>
          <w:tcPr>
            <w:tcW w:w="1450" w:type="dxa"/>
            <w:vAlign w:val="bottom"/>
          </w:tcPr>
          <w:p w14:paraId="1874EDAC" w14:textId="4D6C4456" w:rsidR="00E63821" w:rsidRPr="00E63821" w:rsidRDefault="00E63821" w:rsidP="00520CBD">
            <w:pPr>
              <w:pStyle w:val="Tabletext"/>
              <w:jc w:val="right"/>
            </w:pPr>
            <w:r w:rsidRPr="00E63821">
              <w:t>20.1</w:t>
            </w:r>
          </w:p>
        </w:tc>
      </w:tr>
      <w:tr w:rsidR="00E63821" w:rsidRPr="00CE0A31" w14:paraId="47603FCB" w14:textId="77777777" w:rsidTr="005A27EF">
        <w:tc>
          <w:tcPr>
            <w:tcW w:w="6467" w:type="dxa"/>
            <w:vAlign w:val="bottom"/>
          </w:tcPr>
          <w:p w14:paraId="08D46E70" w14:textId="2133AA32" w:rsidR="00E63821" w:rsidRPr="00CE0A31" w:rsidRDefault="00E63821" w:rsidP="00520CBD">
            <w:pPr>
              <w:pStyle w:val="Tabletext"/>
            </w:pPr>
            <w:r w:rsidRPr="00CE0A31">
              <w:t xml:space="preserve">Past due 31–90 days, </w:t>
            </w:r>
            <w:r w:rsidR="00C92139">
              <w:t>ne</w:t>
            </w:r>
            <w:r w:rsidR="00C92139" w:rsidRPr="00CE0A31">
              <w:t xml:space="preserve">t </w:t>
            </w:r>
            <w:r w:rsidR="00C92139">
              <w:t xml:space="preserve">of </w:t>
            </w:r>
            <w:r w:rsidR="00C92139" w:rsidRPr="00CE0A31">
              <w:t>impair</w:t>
            </w:r>
            <w:r w:rsidR="00C92139">
              <w:t>m</w:t>
            </w:r>
            <w:r w:rsidR="00C92139" w:rsidRPr="00CE0A31">
              <w:t>e</w:t>
            </w:r>
            <w:r w:rsidR="00C92139">
              <w:t>nt</w:t>
            </w:r>
          </w:p>
        </w:tc>
        <w:tc>
          <w:tcPr>
            <w:tcW w:w="1155" w:type="dxa"/>
            <w:shd w:val="clear" w:color="auto" w:fill="EFF4F5"/>
            <w:vAlign w:val="bottom"/>
          </w:tcPr>
          <w:p w14:paraId="589D790E" w14:textId="2161454E" w:rsidR="00E63821" w:rsidRPr="00520CBD" w:rsidRDefault="00C92139" w:rsidP="00520CBD">
            <w:pPr>
              <w:pStyle w:val="Tabletext"/>
              <w:jc w:val="right"/>
              <w:rPr>
                <w:b/>
              </w:rPr>
            </w:pPr>
            <w:r>
              <w:rPr>
                <w:b/>
              </w:rPr>
              <w:t>9.2</w:t>
            </w:r>
          </w:p>
        </w:tc>
        <w:tc>
          <w:tcPr>
            <w:tcW w:w="1450" w:type="dxa"/>
            <w:vAlign w:val="bottom"/>
          </w:tcPr>
          <w:p w14:paraId="2C39FB09" w14:textId="3CCF0038" w:rsidR="00E63821" w:rsidRPr="00E63821" w:rsidRDefault="00E63821" w:rsidP="00520CBD">
            <w:pPr>
              <w:pStyle w:val="Tabletext"/>
              <w:jc w:val="right"/>
            </w:pPr>
            <w:r w:rsidRPr="00E63821">
              <w:t>13.1</w:t>
            </w:r>
          </w:p>
        </w:tc>
      </w:tr>
      <w:tr w:rsidR="00E63821" w:rsidRPr="00CE0A31" w14:paraId="433C5CB5" w14:textId="77777777" w:rsidTr="005A27EF">
        <w:tc>
          <w:tcPr>
            <w:tcW w:w="6467" w:type="dxa"/>
            <w:tcBorders>
              <w:bottom w:val="single" w:sz="4" w:space="0" w:color="93B7BB"/>
            </w:tcBorders>
            <w:vAlign w:val="bottom"/>
          </w:tcPr>
          <w:p w14:paraId="527C1913" w14:textId="0DD6FCD9" w:rsidR="00E63821" w:rsidRPr="00CE0A31" w:rsidRDefault="00FF6CEF" w:rsidP="00FF6CEF">
            <w:pPr>
              <w:pStyle w:val="Tabletext"/>
            </w:pPr>
            <w:r w:rsidRPr="00CE0A31">
              <w:t xml:space="preserve">Past due </w:t>
            </w:r>
            <w:r>
              <w:t>and more than 9</w:t>
            </w:r>
            <w:r w:rsidRPr="00CE0A31">
              <w:t>1 days</w:t>
            </w:r>
            <w:r w:rsidR="00E63821" w:rsidRPr="00CE0A31">
              <w:t xml:space="preserve">, </w:t>
            </w:r>
            <w:r w:rsidR="00C92139">
              <w:t>ne</w:t>
            </w:r>
            <w:r w:rsidR="00C92139" w:rsidRPr="00CE0A31">
              <w:t xml:space="preserve">t </w:t>
            </w:r>
            <w:r w:rsidR="00C92139">
              <w:t xml:space="preserve">of </w:t>
            </w:r>
            <w:r w:rsidR="00C92139" w:rsidRPr="00CE0A31">
              <w:t>impair</w:t>
            </w:r>
            <w:r w:rsidR="00C92139">
              <w:t>m</w:t>
            </w:r>
            <w:r w:rsidR="00C92139" w:rsidRPr="00CE0A31">
              <w:t>e</w:t>
            </w:r>
            <w:r w:rsidR="00C92139">
              <w:t>nt</w:t>
            </w:r>
          </w:p>
        </w:tc>
        <w:tc>
          <w:tcPr>
            <w:tcW w:w="1155" w:type="dxa"/>
            <w:tcBorders>
              <w:bottom w:val="single" w:sz="4" w:space="0" w:color="93B7BB"/>
            </w:tcBorders>
            <w:shd w:val="clear" w:color="auto" w:fill="EFF4F5"/>
            <w:vAlign w:val="bottom"/>
          </w:tcPr>
          <w:p w14:paraId="7DDACEEE" w14:textId="2BAC7FE7" w:rsidR="00E63821" w:rsidRPr="00520CBD" w:rsidRDefault="00C92139" w:rsidP="00520CBD">
            <w:pPr>
              <w:pStyle w:val="Tabletext"/>
              <w:jc w:val="right"/>
              <w:rPr>
                <w:b/>
              </w:rPr>
            </w:pPr>
            <w:r>
              <w:rPr>
                <w:b/>
              </w:rPr>
              <w:t>12.4</w:t>
            </w:r>
          </w:p>
        </w:tc>
        <w:tc>
          <w:tcPr>
            <w:tcW w:w="1450" w:type="dxa"/>
            <w:tcBorders>
              <w:bottom w:val="single" w:sz="4" w:space="0" w:color="93B7BB"/>
            </w:tcBorders>
            <w:vAlign w:val="bottom"/>
          </w:tcPr>
          <w:p w14:paraId="4E418948" w14:textId="2AA04195" w:rsidR="00E63821" w:rsidRPr="00E63821" w:rsidRDefault="00E63821" w:rsidP="00520CBD">
            <w:pPr>
              <w:pStyle w:val="Tabletext"/>
              <w:jc w:val="right"/>
            </w:pPr>
            <w:r w:rsidRPr="00E63821">
              <w:t>12.8</w:t>
            </w:r>
          </w:p>
        </w:tc>
      </w:tr>
      <w:tr w:rsidR="00E63821" w:rsidRPr="00CE0A31" w14:paraId="1B3D873D" w14:textId="77777777" w:rsidTr="005A27EF">
        <w:tc>
          <w:tcPr>
            <w:tcW w:w="6467" w:type="dxa"/>
            <w:tcBorders>
              <w:top w:val="single" w:sz="4" w:space="0" w:color="93B7BB"/>
              <w:bottom w:val="single" w:sz="4" w:space="0" w:color="93B7BB"/>
            </w:tcBorders>
            <w:vAlign w:val="bottom"/>
          </w:tcPr>
          <w:p w14:paraId="7DBD6584" w14:textId="77777777" w:rsidR="00E63821" w:rsidRPr="00CE0A31" w:rsidRDefault="00E63821" w:rsidP="00520CBD">
            <w:pPr>
              <w:pStyle w:val="Tabletext"/>
            </w:pPr>
            <w:r w:rsidRPr="00CE0A31">
              <w:t xml:space="preserve">Total </w:t>
            </w:r>
          </w:p>
        </w:tc>
        <w:tc>
          <w:tcPr>
            <w:tcW w:w="1155" w:type="dxa"/>
            <w:tcBorders>
              <w:top w:val="single" w:sz="4" w:space="0" w:color="93B7BB"/>
              <w:bottom w:val="single" w:sz="4" w:space="0" w:color="93B7BB"/>
            </w:tcBorders>
            <w:shd w:val="clear" w:color="auto" w:fill="EFF4F5"/>
            <w:vAlign w:val="bottom"/>
          </w:tcPr>
          <w:p w14:paraId="65EC6A05" w14:textId="13B38E19" w:rsidR="00E63821" w:rsidRPr="00520CBD" w:rsidRDefault="00C92139" w:rsidP="00520CBD">
            <w:pPr>
              <w:pStyle w:val="Tabletext"/>
              <w:jc w:val="right"/>
              <w:rPr>
                <w:b/>
              </w:rPr>
            </w:pPr>
            <w:r>
              <w:rPr>
                <w:b/>
              </w:rPr>
              <w:t>95.7</w:t>
            </w:r>
          </w:p>
        </w:tc>
        <w:tc>
          <w:tcPr>
            <w:tcW w:w="1450" w:type="dxa"/>
            <w:tcBorders>
              <w:top w:val="single" w:sz="4" w:space="0" w:color="93B7BB"/>
              <w:bottom w:val="single" w:sz="4" w:space="0" w:color="93B7BB"/>
            </w:tcBorders>
            <w:vAlign w:val="bottom"/>
          </w:tcPr>
          <w:p w14:paraId="39AC1F67" w14:textId="7699DC36" w:rsidR="00E63821" w:rsidRPr="00E63821" w:rsidRDefault="00E63821" w:rsidP="00520CBD">
            <w:pPr>
              <w:pStyle w:val="Tabletext"/>
              <w:jc w:val="right"/>
            </w:pPr>
            <w:r w:rsidRPr="00E63821">
              <w:t>108.0</w:t>
            </w:r>
          </w:p>
        </w:tc>
      </w:tr>
    </w:tbl>
    <w:p w14:paraId="2279FA51" w14:textId="77777777" w:rsidR="00004F63" w:rsidRPr="00CE0A31" w:rsidRDefault="00004F63" w:rsidP="00520CBD">
      <w:pPr>
        <w:pStyle w:val="Footnote"/>
      </w:pPr>
    </w:p>
    <w:p w14:paraId="3C84B005" w14:textId="77777777" w:rsidR="00004F63" w:rsidRPr="00CE0A31" w:rsidRDefault="00004F63" w:rsidP="00520CBD">
      <w:r w:rsidRPr="00CE0A31">
        <w:t>Trade receivables comprise the following wider customer/</w:t>
      </w:r>
      <w:proofErr w:type="spellStart"/>
      <w:r w:rsidRPr="00CE0A31">
        <w:t>payor</w:t>
      </w:r>
      <w:proofErr w:type="spellEnd"/>
      <w:r w:rsidRPr="00CE0A31">
        <w:t xml:space="preserve"> groups:</w:t>
      </w:r>
    </w:p>
    <w:tbl>
      <w:tblPr>
        <w:tblW w:w="9072" w:type="dxa"/>
        <w:tblLayout w:type="fixed"/>
        <w:tblCellMar>
          <w:left w:w="0" w:type="dxa"/>
          <w:right w:w="57" w:type="dxa"/>
        </w:tblCellMar>
        <w:tblLook w:val="0000" w:firstRow="0" w:lastRow="0" w:firstColumn="0" w:lastColumn="0" w:noHBand="0" w:noVBand="0"/>
      </w:tblPr>
      <w:tblGrid>
        <w:gridCol w:w="6467"/>
        <w:gridCol w:w="1156"/>
        <w:gridCol w:w="1449"/>
      </w:tblGrid>
      <w:tr w:rsidR="00CE0A31" w:rsidRPr="00CE0A31" w14:paraId="16A71058" w14:textId="77777777" w:rsidTr="00086DBB">
        <w:tc>
          <w:tcPr>
            <w:tcW w:w="6467" w:type="dxa"/>
            <w:tcBorders>
              <w:bottom w:val="single" w:sz="4" w:space="0" w:color="93B7BB"/>
            </w:tcBorders>
            <w:vAlign w:val="bottom"/>
          </w:tcPr>
          <w:p w14:paraId="49618B4E" w14:textId="77777777" w:rsidR="00004F63" w:rsidRPr="00520CBD" w:rsidRDefault="00520CBD" w:rsidP="00520CBD">
            <w:pPr>
              <w:pStyle w:val="Tableheading"/>
            </w:pPr>
            <w:r w:rsidRPr="00520CBD">
              <w:t>(£ million)</w:t>
            </w:r>
          </w:p>
        </w:tc>
        <w:tc>
          <w:tcPr>
            <w:tcW w:w="1156" w:type="dxa"/>
            <w:tcBorders>
              <w:bottom w:val="single" w:sz="4" w:space="0" w:color="93B7BB"/>
            </w:tcBorders>
            <w:shd w:val="clear" w:color="auto" w:fill="auto"/>
            <w:vAlign w:val="bottom"/>
          </w:tcPr>
          <w:p w14:paraId="3E2A00DC" w14:textId="58ED552D" w:rsidR="00004F63" w:rsidRPr="00520CBD" w:rsidRDefault="00004F63" w:rsidP="00E63821">
            <w:pPr>
              <w:pStyle w:val="Tableheading"/>
              <w:jc w:val="right"/>
              <w:rPr>
                <w:b/>
              </w:rPr>
            </w:pPr>
            <w:r w:rsidRPr="00520CBD">
              <w:rPr>
                <w:b/>
              </w:rPr>
              <w:t>201</w:t>
            </w:r>
            <w:r w:rsidR="00E63821">
              <w:rPr>
                <w:b/>
              </w:rPr>
              <w:t>5</w:t>
            </w:r>
          </w:p>
        </w:tc>
        <w:tc>
          <w:tcPr>
            <w:tcW w:w="1449" w:type="dxa"/>
            <w:tcBorders>
              <w:bottom w:val="single" w:sz="4" w:space="0" w:color="93B7BB"/>
            </w:tcBorders>
            <w:vAlign w:val="bottom"/>
          </w:tcPr>
          <w:p w14:paraId="6C6FC35F" w14:textId="5341C56A" w:rsidR="00004F63" w:rsidRPr="00520CBD" w:rsidRDefault="00004F63" w:rsidP="00E63821">
            <w:pPr>
              <w:pStyle w:val="Tableheading"/>
              <w:jc w:val="right"/>
            </w:pPr>
            <w:r w:rsidRPr="00520CBD">
              <w:t>201</w:t>
            </w:r>
            <w:r w:rsidR="00E63821">
              <w:t>4</w:t>
            </w:r>
          </w:p>
        </w:tc>
      </w:tr>
      <w:tr w:rsidR="00E63821" w:rsidRPr="00CE0A31" w14:paraId="2E5CCCE7" w14:textId="77777777" w:rsidTr="005A27EF">
        <w:tc>
          <w:tcPr>
            <w:tcW w:w="6467" w:type="dxa"/>
            <w:tcBorders>
              <w:top w:val="single" w:sz="4" w:space="0" w:color="93B7BB"/>
            </w:tcBorders>
            <w:vAlign w:val="bottom"/>
          </w:tcPr>
          <w:p w14:paraId="222ACB20" w14:textId="77777777" w:rsidR="00E63821" w:rsidRPr="00CE0A31" w:rsidRDefault="00E63821" w:rsidP="00520CBD">
            <w:pPr>
              <w:pStyle w:val="Tabletext"/>
            </w:pPr>
            <w:r w:rsidRPr="00CE0A31">
              <w:t xml:space="preserve">Private medical insurers </w:t>
            </w:r>
          </w:p>
        </w:tc>
        <w:tc>
          <w:tcPr>
            <w:tcW w:w="1156" w:type="dxa"/>
            <w:tcBorders>
              <w:top w:val="single" w:sz="4" w:space="0" w:color="93B7BB"/>
            </w:tcBorders>
            <w:shd w:val="clear" w:color="auto" w:fill="EFF4F5"/>
            <w:vAlign w:val="bottom"/>
          </w:tcPr>
          <w:p w14:paraId="5EBF4538" w14:textId="5B5C61AC" w:rsidR="00E63821" w:rsidRPr="00520CBD" w:rsidRDefault="00C92139" w:rsidP="00520CBD">
            <w:pPr>
              <w:pStyle w:val="Tabletext"/>
              <w:jc w:val="right"/>
              <w:rPr>
                <w:b/>
              </w:rPr>
            </w:pPr>
            <w:r>
              <w:rPr>
                <w:b/>
              </w:rPr>
              <w:t>41.4</w:t>
            </w:r>
          </w:p>
        </w:tc>
        <w:tc>
          <w:tcPr>
            <w:tcW w:w="1449" w:type="dxa"/>
            <w:tcBorders>
              <w:top w:val="single" w:sz="4" w:space="0" w:color="93B7BB"/>
            </w:tcBorders>
            <w:vAlign w:val="bottom"/>
          </w:tcPr>
          <w:p w14:paraId="6ACF50D4" w14:textId="6D41159F" w:rsidR="00E63821" w:rsidRPr="00E63821" w:rsidRDefault="00E63821" w:rsidP="00520CBD">
            <w:pPr>
              <w:pStyle w:val="Tabletext"/>
              <w:jc w:val="right"/>
            </w:pPr>
            <w:r w:rsidRPr="00E63821">
              <w:t>48.0</w:t>
            </w:r>
          </w:p>
        </w:tc>
      </w:tr>
      <w:tr w:rsidR="00E63821" w:rsidRPr="00CE0A31" w14:paraId="772A8774" w14:textId="77777777" w:rsidTr="005A27EF">
        <w:tc>
          <w:tcPr>
            <w:tcW w:w="6467" w:type="dxa"/>
            <w:vAlign w:val="bottom"/>
          </w:tcPr>
          <w:p w14:paraId="392D855F" w14:textId="77777777" w:rsidR="00E63821" w:rsidRPr="00CE0A31" w:rsidRDefault="00E63821" w:rsidP="00520CBD">
            <w:pPr>
              <w:pStyle w:val="Tabletext"/>
            </w:pPr>
            <w:r w:rsidRPr="00CE0A31">
              <w:t xml:space="preserve">NHS </w:t>
            </w:r>
          </w:p>
        </w:tc>
        <w:tc>
          <w:tcPr>
            <w:tcW w:w="1156" w:type="dxa"/>
            <w:shd w:val="clear" w:color="auto" w:fill="EFF4F5"/>
            <w:vAlign w:val="bottom"/>
          </w:tcPr>
          <w:p w14:paraId="226263FB" w14:textId="021BDF20" w:rsidR="00E63821" w:rsidRPr="00520CBD" w:rsidRDefault="00C92139" w:rsidP="00520CBD">
            <w:pPr>
              <w:pStyle w:val="Tabletext"/>
              <w:jc w:val="right"/>
              <w:rPr>
                <w:b/>
              </w:rPr>
            </w:pPr>
            <w:r>
              <w:rPr>
                <w:b/>
              </w:rPr>
              <w:t>39.4</w:t>
            </w:r>
          </w:p>
        </w:tc>
        <w:tc>
          <w:tcPr>
            <w:tcW w:w="1449" w:type="dxa"/>
            <w:vAlign w:val="bottom"/>
          </w:tcPr>
          <w:p w14:paraId="33A25F30" w14:textId="6C964F76" w:rsidR="00E63821" w:rsidRPr="00E63821" w:rsidRDefault="00E63821" w:rsidP="00520CBD">
            <w:pPr>
              <w:pStyle w:val="Tabletext"/>
              <w:jc w:val="right"/>
            </w:pPr>
            <w:r w:rsidRPr="00E63821">
              <w:t>49.9</w:t>
            </w:r>
          </w:p>
        </w:tc>
      </w:tr>
      <w:tr w:rsidR="00E63821" w:rsidRPr="00CE0A31" w14:paraId="30CAE2FA" w14:textId="77777777" w:rsidTr="005A27EF">
        <w:tc>
          <w:tcPr>
            <w:tcW w:w="6467" w:type="dxa"/>
            <w:vAlign w:val="bottom"/>
          </w:tcPr>
          <w:p w14:paraId="359B773C" w14:textId="77777777" w:rsidR="00E63821" w:rsidRPr="00CE0A31" w:rsidRDefault="00E63821" w:rsidP="00520CBD">
            <w:pPr>
              <w:pStyle w:val="Tabletext"/>
            </w:pPr>
            <w:r w:rsidRPr="00CE0A31">
              <w:t xml:space="preserve">Patient debt </w:t>
            </w:r>
          </w:p>
        </w:tc>
        <w:tc>
          <w:tcPr>
            <w:tcW w:w="1156" w:type="dxa"/>
            <w:shd w:val="clear" w:color="auto" w:fill="EFF4F5"/>
            <w:vAlign w:val="bottom"/>
          </w:tcPr>
          <w:p w14:paraId="283A09A5" w14:textId="024B87B9" w:rsidR="00E63821" w:rsidRPr="00520CBD" w:rsidRDefault="00C92139" w:rsidP="00520CBD">
            <w:pPr>
              <w:pStyle w:val="Tabletext"/>
              <w:jc w:val="right"/>
              <w:rPr>
                <w:b/>
              </w:rPr>
            </w:pPr>
            <w:r>
              <w:rPr>
                <w:b/>
              </w:rPr>
              <w:t>2.2</w:t>
            </w:r>
          </w:p>
        </w:tc>
        <w:tc>
          <w:tcPr>
            <w:tcW w:w="1449" w:type="dxa"/>
            <w:vAlign w:val="bottom"/>
          </w:tcPr>
          <w:p w14:paraId="5590D868" w14:textId="2B4483CB" w:rsidR="00E63821" w:rsidRPr="00E63821" w:rsidRDefault="00E63821" w:rsidP="00520CBD">
            <w:pPr>
              <w:pStyle w:val="Tabletext"/>
              <w:jc w:val="right"/>
            </w:pPr>
            <w:r w:rsidRPr="00E63821">
              <w:t>1.0</w:t>
            </w:r>
          </w:p>
        </w:tc>
      </w:tr>
      <w:tr w:rsidR="00E63821" w:rsidRPr="00CE0A31" w14:paraId="299B1780" w14:textId="77777777" w:rsidTr="005A27EF">
        <w:tc>
          <w:tcPr>
            <w:tcW w:w="6467" w:type="dxa"/>
            <w:tcBorders>
              <w:bottom w:val="single" w:sz="4" w:space="0" w:color="93B7BB"/>
            </w:tcBorders>
            <w:vAlign w:val="bottom"/>
          </w:tcPr>
          <w:p w14:paraId="72725873" w14:textId="77777777" w:rsidR="00E63821" w:rsidRPr="00CE0A31" w:rsidRDefault="00E63821" w:rsidP="00520CBD">
            <w:pPr>
              <w:pStyle w:val="Tabletext"/>
            </w:pPr>
            <w:r w:rsidRPr="00CE0A31">
              <w:t xml:space="preserve">Other </w:t>
            </w:r>
          </w:p>
        </w:tc>
        <w:tc>
          <w:tcPr>
            <w:tcW w:w="1156" w:type="dxa"/>
            <w:tcBorders>
              <w:bottom w:val="single" w:sz="4" w:space="0" w:color="93B7BB"/>
            </w:tcBorders>
            <w:shd w:val="clear" w:color="auto" w:fill="EFF4F5"/>
            <w:vAlign w:val="bottom"/>
          </w:tcPr>
          <w:p w14:paraId="27B8267F" w14:textId="26A2876C" w:rsidR="00E63821" w:rsidRPr="00520CBD" w:rsidRDefault="00C92139" w:rsidP="00520CBD">
            <w:pPr>
              <w:pStyle w:val="Tabletext"/>
              <w:jc w:val="right"/>
              <w:rPr>
                <w:b/>
              </w:rPr>
            </w:pPr>
            <w:r>
              <w:rPr>
                <w:b/>
              </w:rPr>
              <w:t>12.7</w:t>
            </w:r>
          </w:p>
        </w:tc>
        <w:tc>
          <w:tcPr>
            <w:tcW w:w="1449" w:type="dxa"/>
            <w:tcBorders>
              <w:bottom w:val="single" w:sz="4" w:space="0" w:color="93B7BB"/>
            </w:tcBorders>
            <w:vAlign w:val="bottom"/>
          </w:tcPr>
          <w:p w14:paraId="5EA98D35" w14:textId="2CB5C50B" w:rsidR="00E63821" w:rsidRPr="00E63821" w:rsidRDefault="00E63821" w:rsidP="00520CBD">
            <w:pPr>
              <w:pStyle w:val="Tabletext"/>
              <w:jc w:val="right"/>
            </w:pPr>
            <w:r w:rsidRPr="00E63821">
              <w:t>9.1</w:t>
            </w:r>
          </w:p>
        </w:tc>
      </w:tr>
      <w:tr w:rsidR="00E63821" w:rsidRPr="00CE0A31" w14:paraId="7A4232DC" w14:textId="77777777" w:rsidTr="005A27EF">
        <w:tc>
          <w:tcPr>
            <w:tcW w:w="6467" w:type="dxa"/>
            <w:tcBorders>
              <w:top w:val="single" w:sz="4" w:space="0" w:color="93B7BB"/>
              <w:bottom w:val="single" w:sz="4" w:space="0" w:color="93B7BB"/>
            </w:tcBorders>
            <w:vAlign w:val="bottom"/>
          </w:tcPr>
          <w:p w14:paraId="3DE15CE5" w14:textId="77777777" w:rsidR="00E63821" w:rsidRPr="00CE0A31" w:rsidRDefault="00E63821" w:rsidP="00520CBD">
            <w:pPr>
              <w:pStyle w:val="Tabletext"/>
            </w:pPr>
            <w:r w:rsidRPr="00CE0A31">
              <w:t xml:space="preserve">Total </w:t>
            </w:r>
          </w:p>
        </w:tc>
        <w:tc>
          <w:tcPr>
            <w:tcW w:w="1156" w:type="dxa"/>
            <w:tcBorders>
              <w:top w:val="single" w:sz="4" w:space="0" w:color="93B7BB"/>
              <w:bottom w:val="single" w:sz="4" w:space="0" w:color="93B7BB"/>
            </w:tcBorders>
            <w:shd w:val="clear" w:color="auto" w:fill="EFF4F5"/>
            <w:vAlign w:val="bottom"/>
          </w:tcPr>
          <w:p w14:paraId="09B59D67" w14:textId="44320216" w:rsidR="00E63821" w:rsidRPr="00520CBD" w:rsidRDefault="00C92139" w:rsidP="00520CBD">
            <w:pPr>
              <w:pStyle w:val="Tabletext"/>
              <w:jc w:val="right"/>
              <w:rPr>
                <w:b/>
              </w:rPr>
            </w:pPr>
            <w:r>
              <w:rPr>
                <w:b/>
              </w:rPr>
              <w:t>95.7</w:t>
            </w:r>
          </w:p>
        </w:tc>
        <w:tc>
          <w:tcPr>
            <w:tcW w:w="1449" w:type="dxa"/>
            <w:tcBorders>
              <w:top w:val="single" w:sz="4" w:space="0" w:color="93B7BB"/>
              <w:bottom w:val="single" w:sz="4" w:space="0" w:color="93B7BB"/>
            </w:tcBorders>
            <w:vAlign w:val="bottom"/>
          </w:tcPr>
          <w:p w14:paraId="17643497" w14:textId="5A3AE40A" w:rsidR="00E63821" w:rsidRPr="00E63821" w:rsidRDefault="00E63821" w:rsidP="00520CBD">
            <w:pPr>
              <w:pStyle w:val="Tabletext"/>
              <w:jc w:val="right"/>
            </w:pPr>
            <w:r w:rsidRPr="00E63821">
              <w:t>108.0</w:t>
            </w:r>
          </w:p>
        </w:tc>
      </w:tr>
    </w:tbl>
    <w:p w14:paraId="58A60FFE" w14:textId="77777777" w:rsidR="00B22F3C" w:rsidRDefault="00B22F3C" w:rsidP="00520CBD">
      <w:pPr>
        <w:pStyle w:val="Footnote"/>
      </w:pPr>
    </w:p>
    <w:p w14:paraId="75C056AA" w14:textId="77777777" w:rsidR="00004F63" w:rsidRPr="00066035" w:rsidRDefault="00364452" w:rsidP="00D94AEE">
      <w:pPr>
        <w:pStyle w:val="Heading3"/>
        <w:keepNext w:val="0"/>
        <w:keepLines w:val="0"/>
      </w:pPr>
      <w:r>
        <w:t xml:space="preserve">16. </w:t>
      </w:r>
      <w:r w:rsidR="00004F63" w:rsidRPr="00066035">
        <w:t>Borrowings</w:t>
      </w:r>
    </w:p>
    <w:tbl>
      <w:tblPr>
        <w:tblW w:w="9072" w:type="dxa"/>
        <w:tblLayout w:type="fixed"/>
        <w:tblCellMar>
          <w:left w:w="0" w:type="dxa"/>
          <w:right w:w="57" w:type="dxa"/>
        </w:tblCellMar>
        <w:tblLook w:val="0000" w:firstRow="0" w:lastRow="0" w:firstColumn="0" w:lastColumn="0" w:noHBand="0" w:noVBand="0"/>
      </w:tblPr>
      <w:tblGrid>
        <w:gridCol w:w="6467"/>
        <w:gridCol w:w="1156"/>
        <w:gridCol w:w="1449"/>
      </w:tblGrid>
      <w:tr w:rsidR="00086DBB" w:rsidRPr="00CE0A31" w14:paraId="56636E26" w14:textId="77777777" w:rsidTr="00086DBB">
        <w:tc>
          <w:tcPr>
            <w:tcW w:w="6467" w:type="dxa"/>
            <w:tcBorders>
              <w:bottom w:val="single" w:sz="4" w:space="0" w:color="93B7BB"/>
            </w:tcBorders>
            <w:vAlign w:val="bottom"/>
          </w:tcPr>
          <w:p w14:paraId="0506C7A4" w14:textId="77777777" w:rsidR="00086DBB" w:rsidRPr="00520CBD" w:rsidRDefault="00086DBB" w:rsidP="00086DBB">
            <w:pPr>
              <w:pStyle w:val="Tableheading"/>
            </w:pPr>
            <w:r w:rsidRPr="00520CBD">
              <w:t>(£ million)</w:t>
            </w:r>
          </w:p>
        </w:tc>
        <w:tc>
          <w:tcPr>
            <w:tcW w:w="1156" w:type="dxa"/>
            <w:tcBorders>
              <w:bottom w:val="single" w:sz="4" w:space="0" w:color="93B7BB"/>
            </w:tcBorders>
            <w:shd w:val="clear" w:color="auto" w:fill="auto"/>
            <w:vAlign w:val="bottom"/>
          </w:tcPr>
          <w:p w14:paraId="70259F9D" w14:textId="77777777" w:rsidR="00086DBB" w:rsidRPr="00520CBD" w:rsidRDefault="00086DBB" w:rsidP="00086DBB">
            <w:pPr>
              <w:pStyle w:val="Tableheading"/>
              <w:jc w:val="right"/>
              <w:rPr>
                <w:b/>
              </w:rPr>
            </w:pPr>
            <w:r w:rsidRPr="00520CBD">
              <w:rPr>
                <w:b/>
              </w:rPr>
              <w:t>201</w:t>
            </w:r>
            <w:r>
              <w:rPr>
                <w:b/>
              </w:rPr>
              <w:t>5</w:t>
            </w:r>
          </w:p>
        </w:tc>
        <w:tc>
          <w:tcPr>
            <w:tcW w:w="1449" w:type="dxa"/>
            <w:tcBorders>
              <w:bottom w:val="single" w:sz="4" w:space="0" w:color="93B7BB"/>
            </w:tcBorders>
            <w:vAlign w:val="bottom"/>
          </w:tcPr>
          <w:p w14:paraId="6E693D59" w14:textId="77777777" w:rsidR="00086DBB" w:rsidRPr="00520CBD" w:rsidRDefault="00086DBB" w:rsidP="00086DBB">
            <w:pPr>
              <w:pStyle w:val="Tableheading"/>
              <w:jc w:val="right"/>
            </w:pPr>
            <w:r w:rsidRPr="00520CBD">
              <w:t>201</w:t>
            </w:r>
            <w:r>
              <w:t>4</w:t>
            </w:r>
          </w:p>
        </w:tc>
      </w:tr>
      <w:tr w:rsidR="00086DBB" w:rsidRPr="00CE0A31" w14:paraId="3F08AF24" w14:textId="77777777" w:rsidTr="00086DBB">
        <w:tc>
          <w:tcPr>
            <w:tcW w:w="6467" w:type="dxa"/>
            <w:tcBorders>
              <w:top w:val="single" w:sz="4" w:space="0" w:color="93B7BB"/>
            </w:tcBorders>
            <w:vAlign w:val="bottom"/>
          </w:tcPr>
          <w:p w14:paraId="3F859A85" w14:textId="2E3D9E14" w:rsidR="00086DBB" w:rsidRPr="00CE0A31" w:rsidRDefault="00086DBB" w:rsidP="00086DBB">
            <w:pPr>
              <w:pStyle w:val="Tabletext"/>
            </w:pPr>
            <w:r w:rsidRPr="00520CBD">
              <w:rPr>
                <w:b/>
              </w:rPr>
              <w:t>Secured borrowings</w:t>
            </w:r>
          </w:p>
        </w:tc>
        <w:tc>
          <w:tcPr>
            <w:tcW w:w="1156" w:type="dxa"/>
            <w:tcBorders>
              <w:top w:val="single" w:sz="4" w:space="0" w:color="93B7BB"/>
            </w:tcBorders>
            <w:shd w:val="clear" w:color="auto" w:fill="EFF4F5"/>
            <w:vAlign w:val="bottom"/>
          </w:tcPr>
          <w:p w14:paraId="0385BDAE" w14:textId="6266B654" w:rsidR="00086DBB" w:rsidRPr="00520CBD" w:rsidRDefault="00086DBB" w:rsidP="00086DBB">
            <w:pPr>
              <w:pStyle w:val="Tabletext"/>
              <w:jc w:val="right"/>
              <w:rPr>
                <w:b/>
              </w:rPr>
            </w:pPr>
          </w:p>
        </w:tc>
        <w:tc>
          <w:tcPr>
            <w:tcW w:w="1449" w:type="dxa"/>
            <w:tcBorders>
              <w:top w:val="single" w:sz="4" w:space="0" w:color="93B7BB"/>
            </w:tcBorders>
            <w:vAlign w:val="bottom"/>
          </w:tcPr>
          <w:p w14:paraId="3CCA7C20" w14:textId="5F53F41D" w:rsidR="00086DBB" w:rsidRPr="00E63821" w:rsidRDefault="00086DBB" w:rsidP="00086DBB">
            <w:pPr>
              <w:pStyle w:val="Tabletext"/>
              <w:jc w:val="right"/>
            </w:pPr>
          </w:p>
        </w:tc>
      </w:tr>
      <w:tr w:rsidR="00086DBB" w:rsidRPr="00CE0A31" w14:paraId="5AB9FD69" w14:textId="77777777" w:rsidTr="00086DBB">
        <w:tc>
          <w:tcPr>
            <w:tcW w:w="6467" w:type="dxa"/>
            <w:vAlign w:val="bottom"/>
          </w:tcPr>
          <w:p w14:paraId="4B33D7E9" w14:textId="762156B9" w:rsidR="00086DBB" w:rsidRPr="00CE0A31" w:rsidRDefault="00086DBB" w:rsidP="00086DBB">
            <w:pPr>
              <w:pStyle w:val="Tabletext"/>
            </w:pPr>
            <w:r w:rsidRPr="00066035">
              <w:t xml:space="preserve">Bank loans </w:t>
            </w:r>
          </w:p>
        </w:tc>
        <w:tc>
          <w:tcPr>
            <w:tcW w:w="1156" w:type="dxa"/>
            <w:shd w:val="clear" w:color="auto" w:fill="EFF4F5"/>
            <w:vAlign w:val="bottom"/>
          </w:tcPr>
          <w:p w14:paraId="1EEEEBB3" w14:textId="2DF1223C" w:rsidR="00086DBB" w:rsidRPr="00520CBD" w:rsidRDefault="00086DBB" w:rsidP="00086DBB">
            <w:pPr>
              <w:pStyle w:val="Tabletext"/>
              <w:jc w:val="right"/>
              <w:rPr>
                <w:b/>
              </w:rPr>
            </w:pPr>
            <w:r>
              <w:rPr>
                <w:b/>
              </w:rPr>
              <w:t>423.1</w:t>
            </w:r>
          </w:p>
        </w:tc>
        <w:tc>
          <w:tcPr>
            <w:tcW w:w="1449" w:type="dxa"/>
            <w:vAlign w:val="bottom"/>
          </w:tcPr>
          <w:p w14:paraId="4ED4F4A3" w14:textId="7E0D2C8F" w:rsidR="00086DBB" w:rsidRPr="00E63821" w:rsidRDefault="00086DBB" w:rsidP="00086DBB">
            <w:pPr>
              <w:pStyle w:val="Tabletext"/>
              <w:jc w:val="right"/>
            </w:pPr>
            <w:r w:rsidRPr="00AD432A">
              <w:t>422.2</w:t>
            </w:r>
          </w:p>
        </w:tc>
      </w:tr>
      <w:tr w:rsidR="00086DBB" w:rsidRPr="00CE0A31" w14:paraId="105DF489" w14:textId="77777777" w:rsidTr="00086DBB">
        <w:tc>
          <w:tcPr>
            <w:tcW w:w="6467" w:type="dxa"/>
            <w:vAlign w:val="bottom"/>
          </w:tcPr>
          <w:p w14:paraId="2C3B8A13" w14:textId="07F4AC55" w:rsidR="00086DBB" w:rsidRPr="00CE0A31" w:rsidRDefault="00086DBB" w:rsidP="00086DBB">
            <w:pPr>
              <w:pStyle w:val="Tabletext"/>
            </w:pPr>
            <w:r w:rsidRPr="00066035">
              <w:t>Obligations under finance leases</w:t>
            </w:r>
          </w:p>
        </w:tc>
        <w:tc>
          <w:tcPr>
            <w:tcW w:w="1156" w:type="dxa"/>
            <w:shd w:val="clear" w:color="auto" w:fill="EFF4F5"/>
            <w:vAlign w:val="bottom"/>
          </w:tcPr>
          <w:p w14:paraId="032CC815" w14:textId="16BB1C49" w:rsidR="00086DBB" w:rsidRPr="00520CBD" w:rsidRDefault="00086DBB" w:rsidP="00086DBB">
            <w:pPr>
              <w:pStyle w:val="Tabletext"/>
              <w:jc w:val="right"/>
              <w:rPr>
                <w:b/>
              </w:rPr>
            </w:pPr>
            <w:r>
              <w:rPr>
                <w:b/>
              </w:rPr>
              <w:t>75.3</w:t>
            </w:r>
          </w:p>
        </w:tc>
        <w:tc>
          <w:tcPr>
            <w:tcW w:w="1449" w:type="dxa"/>
            <w:vAlign w:val="bottom"/>
          </w:tcPr>
          <w:p w14:paraId="6804848D" w14:textId="1896CDAC" w:rsidR="00086DBB" w:rsidRPr="00E63821" w:rsidRDefault="00086DBB" w:rsidP="00086DBB">
            <w:pPr>
              <w:pStyle w:val="Tabletext"/>
              <w:jc w:val="right"/>
            </w:pPr>
            <w:r w:rsidRPr="00AD432A">
              <w:t>76.6</w:t>
            </w:r>
          </w:p>
        </w:tc>
      </w:tr>
      <w:tr w:rsidR="00086DBB" w:rsidRPr="00CE0A31" w14:paraId="4613C71A" w14:textId="77777777" w:rsidTr="00086DBB">
        <w:tc>
          <w:tcPr>
            <w:tcW w:w="6467" w:type="dxa"/>
            <w:tcBorders>
              <w:top w:val="single" w:sz="4" w:space="0" w:color="93B7BB"/>
              <w:bottom w:val="single" w:sz="4" w:space="0" w:color="93B7BB"/>
            </w:tcBorders>
            <w:vAlign w:val="bottom"/>
          </w:tcPr>
          <w:p w14:paraId="1313CB2A" w14:textId="76B32943" w:rsidR="00086DBB" w:rsidRPr="00CE0A31" w:rsidRDefault="00086DBB" w:rsidP="00086DBB">
            <w:pPr>
              <w:pStyle w:val="Tabletext"/>
            </w:pPr>
            <w:r w:rsidRPr="00CE0A31">
              <w:t xml:space="preserve"> </w:t>
            </w:r>
          </w:p>
        </w:tc>
        <w:tc>
          <w:tcPr>
            <w:tcW w:w="1156" w:type="dxa"/>
            <w:tcBorders>
              <w:top w:val="single" w:sz="4" w:space="0" w:color="93B7BB"/>
              <w:bottom w:val="single" w:sz="4" w:space="0" w:color="93B7BB"/>
            </w:tcBorders>
            <w:shd w:val="clear" w:color="auto" w:fill="EFF4F5"/>
            <w:vAlign w:val="bottom"/>
          </w:tcPr>
          <w:p w14:paraId="7965B88F" w14:textId="2338D0BF" w:rsidR="00086DBB" w:rsidRPr="00520CBD" w:rsidRDefault="00086DBB" w:rsidP="00086DBB">
            <w:pPr>
              <w:pStyle w:val="Tabletext"/>
              <w:jc w:val="right"/>
              <w:rPr>
                <w:b/>
              </w:rPr>
            </w:pPr>
            <w:r>
              <w:rPr>
                <w:b/>
              </w:rPr>
              <w:t>498.4</w:t>
            </w:r>
          </w:p>
        </w:tc>
        <w:tc>
          <w:tcPr>
            <w:tcW w:w="1449" w:type="dxa"/>
            <w:tcBorders>
              <w:top w:val="single" w:sz="4" w:space="0" w:color="93B7BB"/>
              <w:bottom w:val="single" w:sz="4" w:space="0" w:color="93B7BB"/>
            </w:tcBorders>
            <w:vAlign w:val="bottom"/>
          </w:tcPr>
          <w:p w14:paraId="4E664FE4" w14:textId="492E8782" w:rsidR="00086DBB" w:rsidRPr="00E63821" w:rsidRDefault="00086DBB" w:rsidP="00086DBB">
            <w:pPr>
              <w:pStyle w:val="Tabletext"/>
              <w:jc w:val="right"/>
            </w:pPr>
            <w:r w:rsidRPr="00AD432A">
              <w:t>498.8</w:t>
            </w:r>
          </w:p>
        </w:tc>
      </w:tr>
    </w:tbl>
    <w:p w14:paraId="6BE3B071" w14:textId="77777777" w:rsidR="00086DBB" w:rsidRDefault="00086DBB" w:rsidP="00086DBB">
      <w:pPr>
        <w:pStyle w:val="Footnote"/>
      </w:pPr>
    </w:p>
    <w:p w14:paraId="04FDAABE" w14:textId="55ACFA04" w:rsidR="00004F63" w:rsidRDefault="00004F63" w:rsidP="0037625D">
      <w:pPr>
        <w:jc w:val="both"/>
      </w:pPr>
      <w:r w:rsidRPr="00066035">
        <w:t xml:space="preserve">The bank loans </w:t>
      </w:r>
      <w:r w:rsidR="00086DBB">
        <w:t xml:space="preserve">and finance leases </w:t>
      </w:r>
      <w:r w:rsidRPr="00066035">
        <w:t>are secured on fixed and floating charges over both the present and future assets of material subsidiaries of the Group.</w:t>
      </w:r>
    </w:p>
    <w:tbl>
      <w:tblPr>
        <w:tblW w:w="9072" w:type="dxa"/>
        <w:tblLayout w:type="fixed"/>
        <w:tblCellMar>
          <w:left w:w="0" w:type="dxa"/>
          <w:right w:w="57" w:type="dxa"/>
        </w:tblCellMar>
        <w:tblLook w:val="0000" w:firstRow="0" w:lastRow="0" w:firstColumn="0" w:lastColumn="0" w:noHBand="0" w:noVBand="0"/>
      </w:tblPr>
      <w:tblGrid>
        <w:gridCol w:w="6467"/>
        <w:gridCol w:w="1156"/>
        <w:gridCol w:w="1449"/>
      </w:tblGrid>
      <w:tr w:rsidR="00086DBB" w:rsidRPr="00CE0A31" w14:paraId="79735A37" w14:textId="77777777" w:rsidTr="00086DBB">
        <w:tc>
          <w:tcPr>
            <w:tcW w:w="6467" w:type="dxa"/>
            <w:vAlign w:val="bottom"/>
          </w:tcPr>
          <w:p w14:paraId="2B546CAD" w14:textId="5F1FD8AD" w:rsidR="00086DBB" w:rsidRPr="00520CBD" w:rsidRDefault="00086DBB" w:rsidP="00086DBB">
            <w:pPr>
              <w:pStyle w:val="Tableheading"/>
              <w:rPr>
                <w:b/>
              </w:rPr>
            </w:pPr>
            <w:r w:rsidRPr="00520CBD">
              <w:rPr>
                <w:b/>
              </w:rPr>
              <w:t>Total borrowings (measured at amortised cost)</w:t>
            </w:r>
          </w:p>
        </w:tc>
        <w:tc>
          <w:tcPr>
            <w:tcW w:w="1156" w:type="dxa"/>
            <w:shd w:val="clear" w:color="auto" w:fill="auto"/>
            <w:vAlign w:val="bottom"/>
          </w:tcPr>
          <w:p w14:paraId="60DA04A2" w14:textId="77777777" w:rsidR="00086DBB" w:rsidRPr="00520CBD" w:rsidRDefault="00086DBB" w:rsidP="00086DBB">
            <w:pPr>
              <w:pStyle w:val="Tableheading"/>
              <w:jc w:val="right"/>
              <w:rPr>
                <w:b/>
              </w:rPr>
            </w:pPr>
          </w:p>
        </w:tc>
        <w:tc>
          <w:tcPr>
            <w:tcW w:w="1449" w:type="dxa"/>
            <w:vAlign w:val="bottom"/>
          </w:tcPr>
          <w:p w14:paraId="26F0A840" w14:textId="77777777" w:rsidR="00086DBB" w:rsidRPr="00520CBD" w:rsidRDefault="00086DBB" w:rsidP="00086DBB">
            <w:pPr>
              <w:pStyle w:val="Tableheading"/>
              <w:jc w:val="right"/>
            </w:pPr>
          </w:p>
        </w:tc>
      </w:tr>
      <w:tr w:rsidR="00086DBB" w:rsidRPr="00CE0A31" w14:paraId="3DE59132" w14:textId="77777777" w:rsidTr="00086DBB">
        <w:tc>
          <w:tcPr>
            <w:tcW w:w="6467" w:type="dxa"/>
            <w:tcBorders>
              <w:bottom w:val="single" w:sz="4" w:space="0" w:color="93B7BB"/>
            </w:tcBorders>
            <w:vAlign w:val="bottom"/>
          </w:tcPr>
          <w:p w14:paraId="549C1D09" w14:textId="695B09B9" w:rsidR="00086DBB" w:rsidRPr="00520CBD" w:rsidRDefault="00086DBB" w:rsidP="00086DBB">
            <w:pPr>
              <w:pStyle w:val="Tableheading"/>
            </w:pPr>
            <w:r w:rsidRPr="00520CBD">
              <w:t>(£ million)</w:t>
            </w:r>
          </w:p>
        </w:tc>
        <w:tc>
          <w:tcPr>
            <w:tcW w:w="1156" w:type="dxa"/>
            <w:tcBorders>
              <w:bottom w:val="single" w:sz="4" w:space="0" w:color="93B7BB"/>
            </w:tcBorders>
            <w:shd w:val="clear" w:color="auto" w:fill="auto"/>
            <w:vAlign w:val="bottom"/>
          </w:tcPr>
          <w:p w14:paraId="0412CF12" w14:textId="77777777" w:rsidR="00086DBB" w:rsidRPr="00520CBD" w:rsidRDefault="00086DBB" w:rsidP="00086DBB">
            <w:pPr>
              <w:pStyle w:val="Tableheading"/>
              <w:jc w:val="right"/>
              <w:rPr>
                <w:b/>
              </w:rPr>
            </w:pPr>
            <w:r w:rsidRPr="00520CBD">
              <w:rPr>
                <w:b/>
              </w:rPr>
              <w:t>201</w:t>
            </w:r>
            <w:r>
              <w:rPr>
                <w:b/>
              </w:rPr>
              <w:t>5</w:t>
            </w:r>
          </w:p>
        </w:tc>
        <w:tc>
          <w:tcPr>
            <w:tcW w:w="1449" w:type="dxa"/>
            <w:tcBorders>
              <w:bottom w:val="single" w:sz="4" w:space="0" w:color="93B7BB"/>
            </w:tcBorders>
            <w:vAlign w:val="bottom"/>
          </w:tcPr>
          <w:p w14:paraId="609E8F1F" w14:textId="77777777" w:rsidR="00086DBB" w:rsidRPr="00520CBD" w:rsidRDefault="00086DBB" w:rsidP="00086DBB">
            <w:pPr>
              <w:pStyle w:val="Tableheading"/>
              <w:jc w:val="right"/>
            </w:pPr>
            <w:r w:rsidRPr="00520CBD">
              <w:t>201</w:t>
            </w:r>
            <w:r>
              <w:t>4</w:t>
            </w:r>
          </w:p>
        </w:tc>
      </w:tr>
      <w:tr w:rsidR="00086DBB" w:rsidRPr="00CE0A31" w14:paraId="318666C4" w14:textId="77777777" w:rsidTr="00086DBB">
        <w:tc>
          <w:tcPr>
            <w:tcW w:w="6467" w:type="dxa"/>
            <w:vAlign w:val="bottom"/>
          </w:tcPr>
          <w:p w14:paraId="30042540" w14:textId="1422E5E9" w:rsidR="00086DBB" w:rsidRPr="00CE0A31" w:rsidRDefault="00086DBB" w:rsidP="00086DBB">
            <w:pPr>
              <w:pStyle w:val="Tabletext"/>
            </w:pPr>
            <w:r w:rsidRPr="00066035">
              <w:t>Amount due for settlement within 12 months</w:t>
            </w:r>
          </w:p>
        </w:tc>
        <w:tc>
          <w:tcPr>
            <w:tcW w:w="1156" w:type="dxa"/>
            <w:shd w:val="clear" w:color="auto" w:fill="EFF4F5"/>
            <w:vAlign w:val="bottom"/>
          </w:tcPr>
          <w:p w14:paraId="2A15CCF6" w14:textId="670E2092" w:rsidR="00086DBB" w:rsidRPr="00520CBD" w:rsidRDefault="00FF6CEF" w:rsidP="00086DBB">
            <w:pPr>
              <w:pStyle w:val="Tabletext"/>
              <w:jc w:val="right"/>
              <w:rPr>
                <w:b/>
              </w:rPr>
            </w:pPr>
            <w:r>
              <w:rPr>
                <w:b/>
              </w:rPr>
              <w:t>4.9</w:t>
            </w:r>
          </w:p>
        </w:tc>
        <w:tc>
          <w:tcPr>
            <w:tcW w:w="1449" w:type="dxa"/>
            <w:vAlign w:val="bottom"/>
          </w:tcPr>
          <w:p w14:paraId="2164C280" w14:textId="00C147AA" w:rsidR="00086DBB" w:rsidRPr="00E63821" w:rsidRDefault="00086DBB" w:rsidP="00086DBB">
            <w:pPr>
              <w:pStyle w:val="Tabletext"/>
              <w:jc w:val="right"/>
            </w:pPr>
            <w:r w:rsidRPr="00AD432A">
              <w:t>5.3</w:t>
            </w:r>
          </w:p>
        </w:tc>
      </w:tr>
      <w:tr w:rsidR="00086DBB" w:rsidRPr="00CE0A31" w14:paraId="44C020EF" w14:textId="77777777" w:rsidTr="00086DBB">
        <w:tc>
          <w:tcPr>
            <w:tcW w:w="6467" w:type="dxa"/>
            <w:vAlign w:val="bottom"/>
          </w:tcPr>
          <w:p w14:paraId="0C2144DF" w14:textId="5DFABD9A" w:rsidR="00086DBB" w:rsidRPr="00CE0A31" w:rsidRDefault="00086DBB" w:rsidP="00086DBB">
            <w:pPr>
              <w:pStyle w:val="Tabletext"/>
            </w:pPr>
            <w:r w:rsidRPr="00066035">
              <w:t>Amount due for settlement after 12</w:t>
            </w:r>
            <w:r>
              <w:t xml:space="preserve"> </w:t>
            </w:r>
            <w:r w:rsidRPr="00066035">
              <w:t>months</w:t>
            </w:r>
          </w:p>
        </w:tc>
        <w:tc>
          <w:tcPr>
            <w:tcW w:w="1156" w:type="dxa"/>
            <w:shd w:val="clear" w:color="auto" w:fill="EFF4F5"/>
            <w:vAlign w:val="bottom"/>
          </w:tcPr>
          <w:p w14:paraId="735BE66A" w14:textId="24046538" w:rsidR="00086DBB" w:rsidRPr="00520CBD" w:rsidRDefault="00FF6CEF" w:rsidP="00086DBB">
            <w:pPr>
              <w:pStyle w:val="Tabletext"/>
              <w:jc w:val="right"/>
              <w:rPr>
                <w:b/>
              </w:rPr>
            </w:pPr>
            <w:r>
              <w:rPr>
                <w:b/>
              </w:rPr>
              <w:t>493.5</w:t>
            </w:r>
          </w:p>
        </w:tc>
        <w:tc>
          <w:tcPr>
            <w:tcW w:w="1449" w:type="dxa"/>
            <w:vAlign w:val="bottom"/>
          </w:tcPr>
          <w:p w14:paraId="27A374AF" w14:textId="65F03A68" w:rsidR="00086DBB" w:rsidRPr="00E63821" w:rsidRDefault="00086DBB" w:rsidP="00086DBB">
            <w:pPr>
              <w:pStyle w:val="Tabletext"/>
              <w:jc w:val="right"/>
            </w:pPr>
            <w:r w:rsidRPr="00AD432A">
              <w:t>493.5</w:t>
            </w:r>
          </w:p>
        </w:tc>
      </w:tr>
      <w:tr w:rsidR="00086DBB" w:rsidRPr="00CE0A31" w14:paraId="6550CF89" w14:textId="77777777" w:rsidTr="00086DBB">
        <w:tc>
          <w:tcPr>
            <w:tcW w:w="6467" w:type="dxa"/>
            <w:tcBorders>
              <w:top w:val="single" w:sz="4" w:space="0" w:color="93B7BB"/>
              <w:bottom w:val="single" w:sz="4" w:space="0" w:color="93B7BB"/>
            </w:tcBorders>
            <w:vAlign w:val="bottom"/>
          </w:tcPr>
          <w:p w14:paraId="19BC55FB" w14:textId="67498E9A" w:rsidR="00086DBB" w:rsidRPr="00CE0A31" w:rsidRDefault="00086DBB" w:rsidP="00086DBB">
            <w:pPr>
              <w:pStyle w:val="Tabletext"/>
            </w:pPr>
            <w:r w:rsidRPr="00CE0A31">
              <w:t xml:space="preserve"> </w:t>
            </w:r>
          </w:p>
        </w:tc>
        <w:tc>
          <w:tcPr>
            <w:tcW w:w="1156" w:type="dxa"/>
            <w:tcBorders>
              <w:top w:val="single" w:sz="4" w:space="0" w:color="93B7BB"/>
              <w:bottom w:val="single" w:sz="4" w:space="0" w:color="93B7BB"/>
            </w:tcBorders>
            <w:shd w:val="clear" w:color="auto" w:fill="EFF4F5"/>
            <w:vAlign w:val="bottom"/>
          </w:tcPr>
          <w:p w14:paraId="693B39E6" w14:textId="57ABE990" w:rsidR="00086DBB" w:rsidRPr="00520CBD" w:rsidRDefault="00FF6CEF" w:rsidP="00086DBB">
            <w:pPr>
              <w:pStyle w:val="Tabletext"/>
              <w:jc w:val="right"/>
              <w:rPr>
                <w:b/>
              </w:rPr>
            </w:pPr>
            <w:r>
              <w:rPr>
                <w:b/>
              </w:rPr>
              <w:t>498.4</w:t>
            </w:r>
          </w:p>
        </w:tc>
        <w:tc>
          <w:tcPr>
            <w:tcW w:w="1449" w:type="dxa"/>
            <w:tcBorders>
              <w:top w:val="single" w:sz="4" w:space="0" w:color="93B7BB"/>
              <w:bottom w:val="single" w:sz="4" w:space="0" w:color="93B7BB"/>
            </w:tcBorders>
            <w:vAlign w:val="bottom"/>
          </w:tcPr>
          <w:p w14:paraId="202923D8" w14:textId="59E7D55C" w:rsidR="00086DBB" w:rsidRPr="00E63821" w:rsidRDefault="00086DBB" w:rsidP="00086DBB">
            <w:pPr>
              <w:pStyle w:val="Tabletext"/>
              <w:jc w:val="right"/>
            </w:pPr>
            <w:r w:rsidRPr="00AD432A">
              <w:t>498.8</w:t>
            </w:r>
          </w:p>
        </w:tc>
      </w:tr>
    </w:tbl>
    <w:p w14:paraId="3A25314A" w14:textId="77777777" w:rsidR="00B22F3C" w:rsidRDefault="00B22F3C" w:rsidP="00520CBD">
      <w:pPr>
        <w:pStyle w:val="Footnote"/>
      </w:pPr>
    </w:p>
    <w:p w14:paraId="73DED2D2" w14:textId="77777777" w:rsidR="00FE54FB" w:rsidRDefault="00FE54FB">
      <w:pPr>
        <w:spacing w:after="160" w:line="259" w:lineRule="auto"/>
        <w:rPr>
          <w:rFonts w:asciiTheme="majorHAnsi" w:eastAsiaTheme="majorEastAsia" w:hAnsiTheme="majorHAnsi" w:cstheme="majorBidi"/>
          <w:b/>
          <w:iCs/>
        </w:rPr>
      </w:pPr>
      <w:r>
        <w:br w:type="page"/>
      </w:r>
    </w:p>
    <w:p w14:paraId="199DF93A" w14:textId="77777777" w:rsidR="00FE54FB" w:rsidRPr="00066035" w:rsidRDefault="00FE54FB" w:rsidP="00FE54FB">
      <w:pPr>
        <w:pStyle w:val="Heading3"/>
        <w:keepNext w:val="0"/>
        <w:keepLines w:val="0"/>
      </w:pPr>
      <w:r>
        <w:lastRenderedPageBreak/>
        <w:t xml:space="preserve">16. </w:t>
      </w:r>
      <w:r w:rsidRPr="00066035">
        <w:t>Borrowings</w:t>
      </w:r>
      <w:r>
        <w:t xml:space="preserve"> (CONTINUED)</w:t>
      </w:r>
    </w:p>
    <w:p w14:paraId="3FE0BC99" w14:textId="71D0D741" w:rsidR="00004F63" w:rsidRPr="00066035" w:rsidRDefault="00004F63" w:rsidP="00520CBD">
      <w:pPr>
        <w:pStyle w:val="Heading4"/>
      </w:pPr>
      <w:r w:rsidRPr="00066035">
        <w:t>Obligations under finance leases</w:t>
      </w:r>
    </w:p>
    <w:p w14:paraId="2BB015D2" w14:textId="77777777" w:rsidR="00004F63" w:rsidRPr="00066035" w:rsidRDefault="00004F63" w:rsidP="00B80227">
      <w:pPr>
        <w:jc w:val="both"/>
      </w:pPr>
      <w:r w:rsidRPr="00066035">
        <w:t>The Group has finance leases in respect of three hospital properties and medical equipment. Future minimum lease payments under finance leases are as follows:</w:t>
      </w:r>
    </w:p>
    <w:tbl>
      <w:tblPr>
        <w:tblW w:w="9072" w:type="dxa"/>
        <w:tblLayout w:type="fixed"/>
        <w:tblCellMar>
          <w:left w:w="0" w:type="dxa"/>
          <w:right w:w="57" w:type="dxa"/>
        </w:tblCellMar>
        <w:tblLook w:val="0000" w:firstRow="0" w:lastRow="0" w:firstColumn="0" w:lastColumn="0" w:noHBand="0" w:noVBand="0"/>
      </w:tblPr>
      <w:tblGrid>
        <w:gridCol w:w="4040"/>
        <w:gridCol w:w="1258"/>
        <w:gridCol w:w="1258"/>
        <w:gridCol w:w="1258"/>
        <w:gridCol w:w="1258"/>
      </w:tblGrid>
      <w:tr w:rsidR="00066035" w:rsidRPr="00066035" w14:paraId="3A7F89AE" w14:textId="77777777" w:rsidTr="0061319F">
        <w:tc>
          <w:tcPr>
            <w:tcW w:w="4040" w:type="dxa"/>
            <w:vAlign w:val="bottom"/>
          </w:tcPr>
          <w:p w14:paraId="1D41E3C5" w14:textId="77777777" w:rsidR="00004F63" w:rsidRPr="00520CBD" w:rsidRDefault="00520CBD" w:rsidP="00520CBD">
            <w:pPr>
              <w:pStyle w:val="Tableheading"/>
            </w:pPr>
            <w:r w:rsidRPr="00520CBD">
              <w:t>(£ million)</w:t>
            </w:r>
          </w:p>
        </w:tc>
        <w:tc>
          <w:tcPr>
            <w:tcW w:w="2516" w:type="dxa"/>
            <w:gridSpan w:val="2"/>
            <w:vAlign w:val="bottom"/>
          </w:tcPr>
          <w:p w14:paraId="02030E43" w14:textId="77777777" w:rsidR="00004F63" w:rsidRDefault="00004F63" w:rsidP="00917800">
            <w:pPr>
              <w:pStyle w:val="Tableheading"/>
              <w:jc w:val="center"/>
              <w:rPr>
                <w:b/>
              </w:rPr>
            </w:pPr>
            <w:r w:rsidRPr="00520CBD">
              <w:rPr>
                <w:b/>
              </w:rPr>
              <w:t>201</w:t>
            </w:r>
            <w:r w:rsidR="00917800">
              <w:rPr>
                <w:b/>
              </w:rPr>
              <w:t>5</w:t>
            </w:r>
          </w:p>
          <w:p w14:paraId="03CBC52D" w14:textId="18464130" w:rsidR="006658FA" w:rsidRPr="00520CBD" w:rsidRDefault="006658FA" w:rsidP="00917800">
            <w:pPr>
              <w:pStyle w:val="Tableheading"/>
              <w:jc w:val="center"/>
              <w:rPr>
                <w:b/>
              </w:rPr>
            </w:pPr>
          </w:p>
        </w:tc>
        <w:tc>
          <w:tcPr>
            <w:tcW w:w="2516" w:type="dxa"/>
            <w:gridSpan w:val="2"/>
            <w:vAlign w:val="bottom"/>
          </w:tcPr>
          <w:p w14:paraId="254CA0D9" w14:textId="77777777" w:rsidR="00004F63" w:rsidRDefault="00004F63" w:rsidP="00917800">
            <w:pPr>
              <w:pStyle w:val="Tableheading"/>
              <w:jc w:val="center"/>
            </w:pPr>
            <w:r w:rsidRPr="00520CBD">
              <w:t>201</w:t>
            </w:r>
            <w:r w:rsidR="00917800">
              <w:t>4</w:t>
            </w:r>
          </w:p>
          <w:p w14:paraId="3B580333" w14:textId="6FC8B635" w:rsidR="006658FA" w:rsidRPr="00520CBD" w:rsidRDefault="006658FA" w:rsidP="00917800">
            <w:pPr>
              <w:pStyle w:val="Tableheading"/>
              <w:jc w:val="center"/>
            </w:pPr>
            <w:r>
              <w:t>(As restated)</w:t>
            </w:r>
          </w:p>
        </w:tc>
      </w:tr>
      <w:tr w:rsidR="00066035" w:rsidRPr="00066035" w14:paraId="0CD5E655" w14:textId="77777777" w:rsidTr="0061319F">
        <w:tc>
          <w:tcPr>
            <w:tcW w:w="4040" w:type="dxa"/>
            <w:tcBorders>
              <w:bottom w:val="single" w:sz="4" w:space="0" w:color="93B7BB"/>
            </w:tcBorders>
            <w:vAlign w:val="bottom"/>
          </w:tcPr>
          <w:p w14:paraId="49D19CFF" w14:textId="77777777" w:rsidR="00004F63" w:rsidRPr="00520CBD" w:rsidRDefault="00004F63" w:rsidP="00520CBD">
            <w:pPr>
              <w:pStyle w:val="Tableheading"/>
            </w:pPr>
          </w:p>
        </w:tc>
        <w:tc>
          <w:tcPr>
            <w:tcW w:w="1258" w:type="dxa"/>
            <w:tcBorders>
              <w:bottom w:val="single" w:sz="4" w:space="0" w:color="93B7BB"/>
            </w:tcBorders>
            <w:shd w:val="clear" w:color="auto" w:fill="auto"/>
            <w:vAlign w:val="bottom"/>
          </w:tcPr>
          <w:p w14:paraId="0980B2BD" w14:textId="77777777" w:rsidR="00004F63" w:rsidRPr="00520CBD" w:rsidRDefault="00004F63" w:rsidP="00520CBD">
            <w:pPr>
              <w:pStyle w:val="Tableheading"/>
              <w:jc w:val="right"/>
              <w:rPr>
                <w:b/>
              </w:rPr>
            </w:pPr>
            <w:r w:rsidRPr="00520CBD">
              <w:rPr>
                <w:b/>
              </w:rPr>
              <w:t>Minimum</w:t>
            </w:r>
            <w:r w:rsidR="00520CBD" w:rsidRPr="00520CBD">
              <w:rPr>
                <w:b/>
              </w:rPr>
              <w:t xml:space="preserve"> </w:t>
            </w:r>
            <w:r w:rsidRPr="00520CBD">
              <w:rPr>
                <w:b/>
              </w:rPr>
              <w:t xml:space="preserve">payments </w:t>
            </w:r>
          </w:p>
        </w:tc>
        <w:tc>
          <w:tcPr>
            <w:tcW w:w="1258" w:type="dxa"/>
            <w:tcBorders>
              <w:bottom w:val="single" w:sz="4" w:space="0" w:color="93B7BB"/>
            </w:tcBorders>
            <w:shd w:val="clear" w:color="auto" w:fill="auto"/>
            <w:vAlign w:val="bottom"/>
          </w:tcPr>
          <w:p w14:paraId="2955B6CE" w14:textId="77777777" w:rsidR="00004F63" w:rsidRPr="00520CBD" w:rsidRDefault="00004F63" w:rsidP="00520CBD">
            <w:pPr>
              <w:pStyle w:val="Tableheading"/>
              <w:jc w:val="right"/>
              <w:rPr>
                <w:b/>
              </w:rPr>
            </w:pPr>
            <w:r w:rsidRPr="00520CBD">
              <w:rPr>
                <w:b/>
              </w:rPr>
              <w:t>Present</w:t>
            </w:r>
            <w:r w:rsidR="00520CBD" w:rsidRPr="00520CBD">
              <w:rPr>
                <w:b/>
              </w:rPr>
              <w:t xml:space="preserve"> </w:t>
            </w:r>
            <w:r w:rsidRPr="00520CBD">
              <w:rPr>
                <w:b/>
              </w:rPr>
              <w:t>value of</w:t>
            </w:r>
            <w:r w:rsidR="00520CBD" w:rsidRPr="00520CBD">
              <w:rPr>
                <w:b/>
              </w:rPr>
              <w:t xml:space="preserve"> </w:t>
            </w:r>
            <w:r w:rsidRPr="00520CBD">
              <w:rPr>
                <w:b/>
              </w:rPr>
              <w:t>payments</w:t>
            </w:r>
          </w:p>
        </w:tc>
        <w:tc>
          <w:tcPr>
            <w:tcW w:w="1258" w:type="dxa"/>
            <w:tcBorders>
              <w:bottom w:val="single" w:sz="4" w:space="0" w:color="93B7BB"/>
            </w:tcBorders>
            <w:vAlign w:val="bottom"/>
          </w:tcPr>
          <w:p w14:paraId="5852D4E0" w14:textId="77777777" w:rsidR="00004F63" w:rsidRPr="00520CBD" w:rsidRDefault="00004F63" w:rsidP="00520CBD">
            <w:pPr>
              <w:pStyle w:val="Tableheading"/>
              <w:jc w:val="right"/>
            </w:pPr>
            <w:r w:rsidRPr="00520CBD">
              <w:t>Minimum</w:t>
            </w:r>
            <w:r w:rsidR="00520CBD" w:rsidRPr="00520CBD">
              <w:t xml:space="preserve"> </w:t>
            </w:r>
            <w:r w:rsidRPr="00520CBD">
              <w:t xml:space="preserve">payments </w:t>
            </w:r>
          </w:p>
        </w:tc>
        <w:tc>
          <w:tcPr>
            <w:tcW w:w="1258" w:type="dxa"/>
            <w:tcBorders>
              <w:bottom w:val="single" w:sz="4" w:space="0" w:color="93B7BB"/>
            </w:tcBorders>
            <w:vAlign w:val="bottom"/>
          </w:tcPr>
          <w:p w14:paraId="7CBD7F9F" w14:textId="77777777" w:rsidR="00004F63" w:rsidRPr="00520CBD" w:rsidRDefault="00004F63" w:rsidP="00520CBD">
            <w:pPr>
              <w:pStyle w:val="Tableheading"/>
              <w:jc w:val="right"/>
            </w:pPr>
            <w:r w:rsidRPr="00520CBD">
              <w:t>Present</w:t>
            </w:r>
            <w:r w:rsidR="00520CBD" w:rsidRPr="00520CBD">
              <w:t xml:space="preserve"> </w:t>
            </w:r>
            <w:r w:rsidRPr="00520CBD">
              <w:t>value of</w:t>
            </w:r>
            <w:r w:rsidR="00520CBD" w:rsidRPr="00520CBD">
              <w:t xml:space="preserve"> </w:t>
            </w:r>
            <w:r w:rsidRPr="00520CBD">
              <w:t>payments</w:t>
            </w:r>
          </w:p>
        </w:tc>
      </w:tr>
      <w:tr w:rsidR="00390317" w:rsidRPr="00066035" w14:paraId="742136CC" w14:textId="77777777" w:rsidTr="0061319F">
        <w:tc>
          <w:tcPr>
            <w:tcW w:w="4040" w:type="dxa"/>
            <w:tcBorders>
              <w:top w:val="single" w:sz="4" w:space="0" w:color="93B7BB"/>
            </w:tcBorders>
            <w:vAlign w:val="bottom"/>
          </w:tcPr>
          <w:p w14:paraId="04F21031" w14:textId="77777777" w:rsidR="00390317" w:rsidRPr="00520CBD" w:rsidRDefault="00390317" w:rsidP="00520CBD">
            <w:pPr>
              <w:pStyle w:val="Tabletext"/>
            </w:pPr>
            <w:r w:rsidRPr="00520CBD">
              <w:t xml:space="preserve">Within one year </w:t>
            </w:r>
          </w:p>
        </w:tc>
        <w:tc>
          <w:tcPr>
            <w:tcW w:w="1258" w:type="dxa"/>
            <w:tcBorders>
              <w:top w:val="single" w:sz="4" w:space="0" w:color="93B7BB"/>
            </w:tcBorders>
            <w:shd w:val="clear" w:color="auto" w:fill="EFF4F5"/>
            <w:vAlign w:val="bottom"/>
          </w:tcPr>
          <w:p w14:paraId="5563DBF3" w14:textId="60F583CD" w:rsidR="00390317" w:rsidRPr="00520CBD" w:rsidRDefault="006658FA" w:rsidP="0028296D">
            <w:pPr>
              <w:pStyle w:val="Tabletext"/>
              <w:jc w:val="right"/>
              <w:rPr>
                <w:b/>
              </w:rPr>
            </w:pPr>
            <w:r>
              <w:rPr>
                <w:b/>
              </w:rPr>
              <w:t>8.5</w:t>
            </w:r>
          </w:p>
        </w:tc>
        <w:tc>
          <w:tcPr>
            <w:tcW w:w="1258" w:type="dxa"/>
            <w:tcBorders>
              <w:top w:val="single" w:sz="4" w:space="0" w:color="93B7BB"/>
            </w:tcBorders>
            <w:shd w:val="clear" w:color="auto" w:fill="EFF4F5"/>
            <w:vAlign w:val="bottom"/>
          </w:tcPr>
          <w:p w14:paraId="72F9E34C" w14:textId="35677FA5" w:rsidR="00390317" w:rsidRPr="00520CBD" w:rsidRDefault="006658FA" w:rsidP="00520CBD">
            <w:pPr>
              <w:pStyle w:val="Tabletext"/>
              <w:jc w:val="right"/>
              <w:rPr>
                <w:b/>
              </w:rPr>
            </w:pPr>
            <w:r>
              <w:rPr>
                <w:b/>
              </w:rPr>
              <w:t>7.5</w:t>
            </w:r>
          </w:p>
        </w:tc>
        <w:tc>
          <w:tcPr>
            <w:tcW w:w="1258" w:type="dxa"/>
            <w:tcBorders>
              <w:top w:val="single" w:sz="4" w:space="0" w:color="93B7BB"/>
            </w:tcBorders>
            <w:vAlign w:val="bottom"/>
          </w:tcPr>
          <w:p w14:paraId="7791DBA2" w14:textId="1D260264" w:rsidR="00390317" w:rsidRPr="00390317" w:rsidRDefault="00390317" w:rsidP="00520CBD">
            <w:pPr>
              <w:pStyle w:val="Tabletext"/>
              <w:jc w:val="right"/>
            </w:pPr>
            <w:r w:rsidRPr="00F0257D">
              <w:t>8.2</w:t>
            </w:r>
          </w:p>
        </w:tc>
        <w:tc>
          <w:tcPr>
            <w:tcW w:w="1258" w:type="dxa"/>
            <w:tcBorders>
              <w:top w:val="single" w:sz="4" w:space="0" w:color="93B7BB"/>
            </w:tcBorders>
            <w:vAlign w:val="bottom"/>
          </w:tcPr>
          <w:p w14:paraId="31A3CDF6" w14:textId="7BD62279" w:rsidR="00390317" w:rsidRPr="00390317" w:rsidRDefault="00390317" w:rsidP="006658FA">
            <w:pPr>
              <w:pStyle w:val="Tabletext"/>
              <w:jc w:val="right"/>
            </w:pPr>
            <w:r>
              <w:t>7</w:t>
            </w:r>
            <w:r w:rsidRPr="00F0257D">
              <w:t>.</w:t>
            </w:r>
            <w:r w:rsidR="006658FA">
              <w:t>3</w:t>
            </w:r>
          </w:p>
        </w:tc>
      </w:tr>
      <w:tr w:rsidR="00390317" w:rsidRPr="00066035" w14:paraId="7AB55D88" w14:textId="77777777" w:rsidTr="0061319F">
        <w:tc>
          <w:tcPr>
            <w:tcW w:w="4040" w:type="dxa"/>
            <w:vAlign w:val="bottom"/>
          </w:tcPr>
          <w:p w14:paraId="3940278C" w14:textId="77777777" w:rsidR="00390317" w:rsidRPr="00520CBD" w:rsidRDefault="00390317" w:rsidP="00520CBD">
            <w:pPr>
              <w:pStyle w:val="Tabletext"/>
            </w:pPr>
            <w:r w:rsidRPr="00520CBD">
              <w:t xml:space="preserve">After one year but not more than five years </w:t>
            </w:r>
          </w:p>
        </w:tc>
        <w:tc>
          <w:tcPr>
            <w:tcW w:w="1258" w:type="dxa"/>
            <w:shd w:val="clear" w:color="auto" w:fill="EFF4F5"/>
            <w:vAlign w:val="bottom"/>
          </w:tcPr>
          <w:p w14:paraId="6D39EE03" w14:textId="45CE3573" w:rsidR="00390317" w:rsidRPr="00520CBD" w:rsidRDefault="006658FA" w:rsidP="0028296D">
            <w:pPr>
              <w:pStyle w:val="Tabletext"/>
              <w:jc w:val="right"/>
              <w:rPr>
                <w:b/>
              </w:rPr>
            </w:pPr>
            <w:r>
              <w:rPr>
                <w:b/>
              </w:rPr>
              <w:t>35.2</w:t>
            </w:r>
          </w:p>
        </w:tc>
        <w:tc>
          <w:tcPr>
            <w:tcW w:w="1258" w:type="dxa"/>
            <w:shd w:val="clear" w:color="auto" w:fill="EFF4F5"/>
            <w:vAlign w:val="bottom"/>
          </w:tcPr>
          <w:p w14:paraId="626CE638" w14:textId="5E98B162" w:rsidR="00390317" w:rsidRPr="00761119" w:rsidRDefault="006658FA" w:rsidP="0028296D">
            <w:pPr>
              <w:pStyle w:val="Tabletext"/>
              <w:jc w:val="right"/>
              <w:rPr>
                <w:b/>
                <w:sz w:val="16"/>
                <w:szCs w:val="16"/>
              </w:rPr>
            </w:pPr>
            <w:r>
              <w:rPr>
                <w:b/>
                <w:sz w:val="16"/>
                <w:szCs w:val="16"/>
              </w:rPr>
              <w:t>23.6</w:t>
            </w:r>
          </w:p>
        </w:tc>
        <w:tc>
          <w:tcPr>
            <w:tcW w:w="1258" w:type="dxa"/>
            <w:vAlign w:val="bottom"/>
          </w:tcPr>
          <w:p w14:paraId="06C8D960" w14:textId="3DDD52D0" w:rsidR="00390317" w:rsidRPr="00390317" w:rsidRDefault="00390317" w:rsidP="006658FA">
            <w:pPr>
              <w:pStyle w:val="Tabletext"/>
              <w:jc w:val="right"/>
            </w:pPr>
            <w:r>
              <w:t>3</w:t>
            </w:r>
            <w:r w:rsidR="006658FA">
              <w:t>4</w:t>
            </w:r>
            <w:r w:rsidRPr="00F0257D">
              <w:t>.</w:t>
            </w:r>
            <w:r w:rsidR="006658FA">
              <w:t>3</w:t>
            </w:r>
          </w:p>
        </w:tc>
        <w:tc>
          <w:tcPr>
            <w:tcW w:w="1258" w:type="dxa"/>
            <w:vAlign w:val="bottom"/>
          </w:tcPr>
          <w:p w14:paraId="6247E1FC" w14:textId="37DB2407" w:rsidR="00390317" w:rsidRPr="00390317" w:rsidRDefault="00390317" w:rsidP="006658FA">
            <w:pPr>
              <w:pStyle w:val="Tabletext"/>
              <w:jc w:val="right"/>
            </w:pPr>
            <w:r>
              <w:t>2</w:t>
            </w:r>
            <w:r w:rsidR="006658FA">
              <w:t>3</w:t>
            </w:r>
            <w:r w:rsidRPr="00F0257D">
              <w:t>.</w:t>
            </w:r>
            <w:r w:rsidR="006658FA">
              <w:t>1</w:t>
            </w:r>
          </w:p>
        </w:tc>
      </w:tr>
      <w:tr w:rsidR="00390317" w:rsidRPr="00066035" w14:paraId="0BCFD267" w14:textId="77777777" w:rsidTr="0061319F">
        <w:tc>
          <w:tcPr>
            <w:tcW w:w="4040" w:type="dxa"/>
            <w:tcBorders>
              <w:bottom w:val="single" w:sz="4" w:space="0" w:color="93B7BB"/>
            </w:tcBorders>
            <w:vAlign w:val="bottom"/>
          </w:tcPr>
          <w:p w14:paraId="1AD21435" w14:textId="77777777" w:rsidR="00390317" w:rsidRPr="00520CBD" w:rsidRDefault="00390317" w:rsidP="00520CBD">
            <w:pPr>
              <w:pStyle w:val="Tabletext"/>
            </w:pPr>
            <w:r w:rsidRPr="00520CBD">
              <w:t xml:space="preserve">More than five years </w:t>
            </w:r>
          </w:p>
        </w:tc>
        <w:tc>
          <w:tcPr>
            <w:tcW w:w="1258" w:type="dxa"/>
            <w:tcBorders>
              <w:bottom w:val="single" w:sz="4" w:space="0" w:color="93B7BB"/>
            </w:tcBorders>
            <w:shd w:val="clear" w:color="auto" w:fill="EFF4F5"/>
            <w:vAlign w:val="bottom"/>
          </w:tcPr>
          <w:p w14:paraId="085DFB04" w14:textId="12E55EC9" w:rsidR="00390317" w:rsidRPr="00520CBD" w:rsidRDefault="006658FA" w:rsidP="00520CBD">
            <w:pPr>
              <w:pStyle w:val="Tabletext"/>
              <w:jc w:val="right"/>
              <w:rPr>
                <w:b/>
              </w:rPr>
            </w:pPr>
            <w:r>
              <w:rPr>
                <w:b/>
              </w:rPr>
              <w:t>239.1</w:t>
            </w:r>
          </w:p>
        </w:tc>
        <w:tc>
          <w:tcPr>
            <w:tcW w:w="1258" w:type="dxa"/>
            <w:tcBorders>
              <w:bottom w:val="single" w:sz="4" w:space="0" w:color="93B7BB"/>
            </w:tcBorders>
            <w:shd w:val="clear" w:color="auto" w:fill="EFF4F5"/>
            <w:vAlign w:val="bottom"/>
          </w:tcPr>
          <w:p w14:paraId="1873800D" w14:textId="22D9F1A4" w:rsidR="00390317" w:rsidRPr="00520CBD" w:rsidRDefault="006658FA" w:rsidP="00520CBD">
            <w:pPr>
              <w:pStyle w:val="Tabletext"/>
              <w:jc w:val="right"/>
              <w:rPr>
                <w:b/>
              </w:rPr>
            </w:pPr>
            <w:r>
              <w:rPr>
                <w:b/>
              </w:rPr>
              <w:t>44.2</w:t>
            </w:r>
          </w:p>
        </w:tc>
        <w:tc>
          <w:tcPr>
            <w:tcW w:w="1258" w:type="dxa"/>
            <w:tcBorders>
              <w:bottom w:val="single" w:sz="4" w:space="0" w:color="93B7BB"/>
            </w:tcBorders>
            <w:vAlign w:val="bottom"/>
          </w:tcPr>
          <w:p w14:paraId="22044406" w14:textId="2C5A504E" w:rsidR="00390317" w:rsidRPr="00390317" w:rsidRDefault="00390317" w:rsidP="006658FA">
            <w:pPr>
              <w:pStyle w:val="Tabletext"/>
              <w:jc w:val="right"/>
            </w:pPr>
            <w:r>
              <w:t>2</w:t>
            </w:r>
            <w:r w:rsidR="006658FA">
              <w:t>50</w:t>
            </w:r>
            <w:r w:rsidRPr="00F0257D">
              <w:t>.</w:t>
            </w:r>
            <w:r w:rsidR="006658FA">
              <w:t>5</w:t>
            </w:r>
          </w:p>
        </w:tc>
        <w:tc>
          <w:tcPr>
            <w:tcW w:w="1258" w:type="dxa"/>
            <w:tcBorders>
              <w:bottom w:val="single" w:sz="4" w:space="0" w:color="93B7BB"/>
            </w:tcBorders>
            <w:vAlign w:val="bottom"/>
          </w:tcPr>
          <w:p w14:paraId="18B250BB" w14:textId="36011DA6" w:rsidR="00390317" w:rsidRPr="00390317" w:rsidRDefault="006658FA" w:rsidP="006658FA">
            <w:pPr>
              <w:pStyle w:val="Tabletext"/>
              <w:jc w:val="right"/>
            </w:pPr>
            <w:r>
              <w:t>46</w:t>
            </w:r>
            <w:r w:rsidR="00390317" w:rsidRPr="00F0257D">
              <w:t>.</w:t>
            </w:r>
            <w:r>
              <w:t>2</w:t>
            </w:r>
          </w:p>
        </w:tc>
      </w:tr>
      <w:tr w:rsidR="00390317" w:rsidRPr="00066035" w14:paraId="280A1609" w14:textId="77777777" w:rsidTr="0061319F">
        <w:tc>
          <w:tcPr>
            <w:tcW w:w="4040" w:type="dxa"/>
            <w:tcBorders>
              <w:top w:val="single" w:sz="4" w:space="0" w:color="93B7BB"/>
            </w:tcBorders>
            <w:vAlign w:val="bottom"/>
          </w:tcPr>
          <w:p w14:paraId="3EC7834C" w14:textId="77777777" w:rsidR="00390317" w:rsidRPr="00520CBD" w:rsidRDefault="00390317" w:rsidP="00520CBD">
            <w:pPr>
              <w:pStyle w:val="Tabletext"/>
            </w:pPr>
            <w:r w:rsidRPr="00520CBD">
              <w:t xml:space="preserve">Total minimum lease payments </w:t>
            </w:r>
          </w:p>
        </w:tc>
        <w:tc>
          <w:tcPr>
            <w:tcW w:w="1258" w:type="dxa"/>
            <w:tcBorders>
              <w:top w:val="single" w:sz="4" w:space="0" w:color="93B7BB"/>
            </w:tcBorders>
            <w:shd w:val="clear" w:color="auto" w:fill="EFF4F5"/>
            <w:vAlign w:val="bottom"/>
          </w:tcPr>
          <w:p w14:paraId="0704D833" w14:textId="04720EFA" w:rsidR="00390317" w:rsidRPr="00520CBD" w:rsidRDefault="006658FA" w:rsidP="00520CBD">
            <w:pPr>
              <w:pStyle w:val="Tabletext"/>
              <w:jc w:val="right"/>
              <w:rPr>
                <w:b/>
              </w:rPr>
            </w:pPr>
            <w:r>
              <w:rPr>
                <w:b/>
              </w:rPr>
              <w:t>282.8</w:t>
            </w:r>
          </w:p>
        </w:tc>
        <w:tc>
          <w:tcPr>
            <w:tcW w:w="1258" w:type="dxa"/>
            <w:tcBorders>
              <w:top w:val="single" w:sz="4" w:space="0" w:color="93B7BB"/>
            </w:tcBorders>
            <w:shd w:val="clear" w:color="auto" w:fill="EFF4F5"/>
            <w:vAlign w:val="bottom"/>
          </w:tcPr>
          <w:p w14:paraId="5FE6CAFB" w14:textId="6FD765C1" w:rsidR="00390317" w:rsidRPr="00520CBD" w:rsidRDefault="006658FA" w:rsidP="00520CBD">
            <w:pPr>
              <w:pStyle w:val="Tabletext"/>
              <w:jc w:val="right"/>
              <w:rPr>
                <w:b/>
              </w:rPr>
            </w:pPr>
            <w:r>
              <w:rPr>
                <w:b/>
              </w:rPr>
              <w:t>75.3</w:t>
            </w:r>
          </w:p>
        </w:tc>
        <w:tc>
          <w:tcPr>
            <w:tcW w:w="1258" w:type="dxa"/>
            <w:tcBorders>
              <w:top w:val="single" w:sz="4" w:space="0" w:color="93B7BB"/>
            </w:tcBorders>
            <w:vAlign w:val="bottom"/>
          </w:tcPr>
          <w:p w14:paraId="3405F0B3" w14:textId="47D71D7E" w:rsidR="00390317" w:rsidRPr="00390317" w:rsidRDefault="00390317" w:rsidP="00520CBD">
            <w:pPr>
              <w:pStyle w:val="Tabletext"/>
              <w:jc w:val="right"/>
            </w:pPr>
            <w:r w:rsidRPr="00F0257D">
              <w:t>2</w:t>
            </w:r>
            <w:r>
              <w:t>93</w:t>
            </w:r>
            <w:r w:rsidRPr="00F0257D">
              <w:t>.</w:t>
            </w:r>
            <w:r w:rsidR="006658FA">
              <w:t>0</w:t>
            </w:r>
          </w:p>
        </w:tc>
        <w:tc>
          <w:tcPr>
            <w:tcW w:w="1258" w:type="dxa"/>
            <w:tcBorders>
              <w:top w:val="single" w:sz="4" w:space="0" w:color="93B7BB"/>
            </w:tcBorders>
            <w:vAlign w:val="bottom"/>
          </w:tcPr>
          <w:p w14:paraId="62EFE3FC" w14:textId="65169547" w:rsidR="00390317" w:rsidRPr="00390317" w:rsidRDefault="00390317" w:rsidP="00520CBD">
            <w:pPr>
              <w:pStyle w:val="Tabletext"/>
              <w:jc w:val="right"/>
            </w:pPr>
            <w:r w:rsidRPr="00F0257D">
              <w:t>76.6</w:t>
            </w:r>
          </w:p>
        </w:tc>
      </w:tr>
      <w:tr w:rsidR="00390317" w:rsidRPr="00066035" w14:paraId="5496F950" w14:textId="77777777" w:rsidTr="0061319F">
        <w:tc>
          <w:tcPr>
            <w:tcW w:w="4040" w:type="dxa"/>
            <w:tcBorders>
              <w:bottom w:val="single" w:sz="4" w:space="0" w:color="93B7BB"/>
            </w:tcBorders>
            <w:vAlign w:val="bottom"/>
          </w:tcPr>
          <w:p w14:paraId="25FC28CB" w14:textId="77777777" w:rsidR="00390317" w:rsidRPr="00520CBD" w:rsidRDefault="00390317" w:rsidP="00520CBD">
            <w:pPr>
              <w:pStyle w:val="Tabletext"/>
            </w:pPr>
            <w:r w:rsidRPr="00520CBD">
              <w:t xml:space="preserve">Less amounts representing finance charges </w:t>
            </w:r>
          </w:p>
        </w:tc>
        <w:tc>
          <w:tcPr>
            <w:tcW w:w="1258" w:type="dxa"/>
            <w:tcBorders>
              <w:bottom w:val="single" w:sz="4" w:space="0" w:color="93B7BB"/>
            </w:tcBorders>
            <w:shd w:val="clear" w:color="auto" w:fill="EFF4F5"/>
            <w:vAlign w:val="bottom"/>
          </w:tcPr>
          <w:p w14:paraId="55B5BF33" w14:textId="140B82CA" w:rsidR="00390317" w:rsidRPr="00520CBD" w:rsidRDefault="006658FA" w:rsidP="00520CBD">
            <w:pPr>
              <w:pStyle w:val="Tabletext"/>
              <w:jc w:val="right"/>
              <w:rPr>
                <w:b/>
              </w:rPr>
            </w:pPr>
            <w:r>
              <w:rPr>
                <w:b/>
              </w:rPr>
              <w:t>(207.5)</w:t>
            </w:r>
          </w:p>
        </w:tc>
        <w:tc>
          <w:tcPr>
            <w:tcW w:w="1258" w:type="dxa"/>
            <w:tcBorders>
              <w:bottom w:val="single" w:sz="4" w:space="0" w:color="93B7BB"/>
            </w:tcBorders>
            <w:shd w:val="clear" w:color="auto" w:fill="EFF4F5"/>
            <w:vAlign w:val="bottom"/>
          </w:tcPr>
          <w:p w14:paraId="3874DDFF" w14:textId="3F27AAFC" w:rsidR="00390317" w:rsidRPr="006658FA" w:rsidRDefault="006658FA" w:rsidP="00520CBD">
            <w:pPr>
              <w:pStyle w:val="Tabletext"/>
              <w:jc w:val="right"/>
              <w:rPr>
                <w:b/>
              </w:rPr>
            </w:pPr>
            <w:r w:rsidRPr="006658FA">
              <w:rPr>
                <w:b/>
              </w:rPr>
              <w:t>–</w:t>
            </w:r>
          </w:p>
        </w:tc>
        <w:tc>
          <w:tcPr>
            <w:tcW w:w="1258" w:type="dxa"/>
            <w:tcBorders>
              <w:bottom w:val="single" w:sz="4" w:space="0" w:color="93B7BB"/>
            </w:tcBorders>
            <w:vAlign w:val="bottom"/>
          </w:tcPr>
          <w:p w14:paraId="76754AA3" w14:textId="080C5D94" w:rsidR="00390317" w:rsidRPr="00390317" w:rsidRDefault="00390317" w:rsidP="006658FA">
            <w:pPr>
              <w:pStyle w:val="Tabletext"/>
              <w:jc w:val="right"/>
            </w:pPr>
            <w:r w:rsidRPr="00F0257D">
              <w:t>(</w:t>
            </w:r>
            <w:r>
              <w:t>2</w:t>
            </w:r>
            <w:r w:rsidRPr="00F0257D">
              <w:t>1</w:t>
            </w:r>
            <w:r>
              <w:t>6</w:t>
            </w:r>
            <w:r w:rsidRPr="00F0257D">
              <w:t>.</w:t>
            </w:r>
            <w:r w:rsidR="006658FA">
              <w:t>4</w:t>
            </w:r>
            <w:r w:rsidRPr="00F0257D">
              <w:t>)</w:t>
            </w:r>
          </w:p>
        </w:tc>
        <w:tc>
          <w:tcPr>
            <w:tcW w:w="1258" w:type="dxa"/>
            <w:tcBorders>
              <w:bottom w:val="single" w:sz="4" w:space="0" w:color="93B7BB"/>
            </w:tcBorders>
            <w:vAlign w:val="bottom"/>
          </w:tcPr>
          <w:p w14:paraId="0CBD489A" w14:textId="77C01980" w:rsidR="00390317" w:rsidRPr="00390317" w:rsidRDefault="00390317" w:rsidP="00520CBD">
            <w:pPr>
              <w:pStyle w:val="Tabletext"/>
              <w:jc w:val="right"/>
            </w:pPr>
            <w:r w:rsidRPr="00F0257D">
              <w:t>–</w:t>
            </w:r>
          </w:p>
        </w:tc>
      </w:tr>
      <w:tr w:rsidR="00390317" w:rsidRPr="00066035" w14:paraId="7AE749AE" w14:textId="77777777" w:rsidTr="0061319F">
        <w:tc>
          <w:tcPr>
            <w:tcW w:w="4040" w:type="dxa"/>
            <w:tcBorders>
              <w:top w:val="single" w:sz="4" w:space="0" w:color="93B7BB"/>
              <w:bottom w:val="single" w:sz="4" w:space="0" w:color="93B7BB"/>
            </w:tcBorders>
            <w:vAlign w:val="bottom"/>
          </w:tcPr>
          <w:p w14:paraId="3EE742D6" w14:textId="77777777" w:rsidR="00390317" w:rsidRPr="00520CBD" w:rsidRDefault="00390317" w:rsidP="00520CBD">
            <w:pPr>
              <w:pStyle w:val="Tabletext"/>
              <w:rPr>
                <w:b/>
              </w:rPr>
            </w:pPr>
            <w:r w:rsidRPr="00520CBD">
              <w:rPr>
                <w:b/>
              </w:rPr>
              <w:t xml:space="preserve">Present value of minimum lease payments </w:t>
            </w:r>
          </w:p>
        </w:tc>
        <w:tc>
          <w:tcPr>
            <w:tcW w:w="1258" w:type="dxa"/>
            <w:tcBorders>
              <w:top w:val="single" w:sz="4" w:space="0" w:color="93B7BB"/>
              <w:bottom w:val="single" w:sz="4" w:space="0" w:color="93B7BB"/>
            </w:tcBorders>
            <w:shd w:val="clear" w:color="auto" w:fill="EFF4F5"/>
            <w:vAlign w:val="bottom"/>
          </w:tcPr>
          <w:p w14:paraId="48FBDE3D" w14:textId="18A54AEA" w:rsidR="00390317" w:rsidRPr="00520CBD" w:rsidRDefault="006658FA" w:rsidP="00520CBD">
            <w:pPr>
              <w:pStyle w:val="Tabletext"/>
              <w:jc w:val="right"/>
              <w:rPr>
                <w:b/>
              </w:rPr>
            </w:pPr>
            <w:r>
              <w:rPr>
                <w:b/>
              </w:rPr>
              <w:t>75.3</w:t>
            </w:r>
          </w:p>
        </w:tc>
        <w:tc>
          <w:tcPr>
            <w:tcW w:w="1258" w:type="dxa"/>
            <w:tcBorders>
              <w:top w:val="single" w:sz="4" w:space="0" w:color="93B7BB"/>
              <w:bottom w:val="single" w:sz="4" w:space="0" w:color="93B7BB"/>
            </w:tcBorders>
            <w:shd w:val="clear" w:color="auto" w:fill="EFF4F5"/>
            <w:vAlign w:val="bottom"/>
          </w:tcPr>
          <w:p w14:paraId="0189A37B" w14:textId="1837AA15" w:rsidR="00390317" w:rsidRPr="00520CBD" w:rsidRDefault="006658FA" w:rsidP="00520CBD">
            <w:pPr>
              <w:pStyle w:val="Tabletext"/>
              <w:jc w:val="right"/>
              <w:rPr>
                <w:b/>
              </w:rPr>
            </w:pPr>
            <w:r>
              <w:rPr>
                <w:b/>
              </w:rPr>
              <w:t>75.3</w:t>
            </w:r>
          </w:p>
        </w:tc>
        <w:tc>
          <w:tcPr>
            <w:tcW w:w="1258" w:type="dxa"/>
            <w:tcBorders>
              <w:top w:val="single" w:sz="4" w:space="0" w:color="93B7BB"/>
              <w:bottom w:val="single" w:sz="4" w:space="0" w:color="93B7BB"/>
            </w:tcBorders>
            <w:vAlign w:val="bottom"/>
          </w:tcPr>
          <w:p w14:paraId="18514694" w14:textId="46DA6BAE" w:rsidR="00390317" w:rsidRPr="00520CBD" w:rsidRDefault="00390317" w:rsidP="00520CBD">
            <w:pPr>
              <w:pStyle w:val="Tabletext"/>
              <w:jc w:val="right"/>
              <w:rPr>
                <w:b/>
              </w:rPr>
            </w:pPr>
            <w:r w:rsidRPr="00520CBD">
              <w:rPr>
                <w:b/>
              </w:rPr>
              <w:t>76.6</w:t>
            </w:r>
          </w:p>
        </w:tc>
        <w:tc>
          <w:tcPr>
            <w:tcW w:w="1258" w:type="dxa"/>
            <w:tcBorders>
              <w:top w:val="single" w:sz="4" w:space="0" w:color="93B7BB"/>
              <w:bottom w:val="single" w:sz="4" w:space="0" w:color="93B7BB"/>
            </w:tcBorders>
            <w:vAlign w:val="bottom"/>
          </w:tcPr>
          <w:p w14:paraId="010D6BA5" w14:textId="763FC781" w:rsidR="00390317" w:rsidRPr="00520CBD" w:rsidRDefault="00390317" w:rsidP="00520CBD">
            <w:pPr>
              <w:pStyle w:val="Tabletext"/>
              <w:jc w:val="right"/>
              <w:rPr>
                <w:b/>
              </w:rPr>
            </w:pPr>
            <w:r w:rsidRPr="00520CBD">
              <w:rPr>
                <w:b/>
              </w:rPr>
              <w:t>76.6</w:t>
            </w:r>
          </w:p>
        </w:tc>
      </w:tr>
    </w:tbl>
    <w:p w14:paraId="16028B44" w14:textId="77777777" w:rsidR="00004F63" w:rsidRDefault="00004F63" w:rsidP="00520CBD">
      <w:pPr>
        <w:pStyle w:val="Footnote"/>
      </w:pPr>
    </w:p>
    <w:p w14:paraId="7AA57E73" w14:textId="121C1166" w:rsidR="00004F63" w:rsidRPr="00066035" w:rsidRDefault="00500A32" w:rsidP="0037625D">
      <w:pPr>
        <w:jc w:val="both"/>
      </w:pPr>
      <w:r>
        <w:t>P</w:t>
      </w:r>
      <w:r w:rsidR="00004F63" w:rsidRPr="00066035">
        <w:t>roperty leases, with a present value liability of £</w:t>
      </w:r>
      <w:r w:rsidR="006658FA">
        <w:t>74.2</w:t>
      </w:r>
      <w:r w:rsidR="00004F63" w:rsidRPr="00066035">
        <w:t xml:space="preserve"> million (201</w:t>
      </w:r>
      <w:r w:rsidR="0037370C">
        <w:t>4</w:t>
      </w:r>
      <w:r w:rsidR="00004F63" w:rsidRPr="00066035">
        <w:t>: £</w:t>
      </w:r>
      <w:r w:rsidR="0037370C" w:rsidRPr="00066035">
        <w:t>75.1</w:t>
      </w:r>
      <w:r w:rsidR="00004F63" w:rsidRPr="00066035">
        <w:t xml:space="preserve"> million)</w:t>
      </w:r>
      <w:r w:rsidR="0056611D">
        <w:t>,</w:t>
      </w:r>
      <w:r w:rsidR="00004F63" w:rsidRPr="00066035">
        <w:t xml:space="preserve"> expire in 2040 and carry an implicit interest rate of </w:t>
      </w:r>
      <w:r w:rsidR="006658FA">
        <w:t>12.9</w:t>
      </w:r>
      <w:r w:rsidR="00004F63" w:rsidRPr="00066035">
        <w:t>% (201</w:t>
      </w:r>
      <w:r w:rsidR="0037370C">
        <w:t>4</w:t>
      </w:r>
      <w:r w:rsidR="00C67BE8" w:rsidRPr="00C67BE8">
        <w:t xml:space="preserve"> </w:t>
      </w:r>
      <w:r w:rsidR="00C67BE8">
        <w:t>as restated</w:t>
      </w:r>
      <w:r w:rsidR="00004F63" w:rsidRPr="00066035">
        <w:t xml:space="preserve">: </w:t>
      </w:r>
      <w:r w:rsidR="006658FA">
        <w:t>12.9</w:t>
      </w:r>
      <w:r w:rsidR="00004F63" w:rsidRPr="00066035">
        <w:t>%).</w:t>
      </w:r>
      <w:r w:rsidR="00C67BE8">
        <w:t xml:space="preserve"> Rent is </w:t>
      </w:r>
      <w:r w:rsidR="00C67BE8" w:rsidRPr="00477575">
        <w:t>review</w:t>
      </w:r>
      <w:r w:rsidR="00C67BE8">
        <w:t xml:space="preserve">ed </w:t>
      </w:r>
      <w:r w:rsidR="00C67BE8" w:rsidRPr="00477575">
        <w:t>annually with reference to RPI</w:t>
      </w:r>
      <w:r w:rsidR="00C67BE8">
        <w:t>,</w:t>
      </w:r>
      <w:r w:rsidR="00C67BE8" w:rsidRPr="00477575">
        <w:t xml:space="preserve"> </w:t>
      </w:r>
      <w:r w:rsidR="00C67BE8">
        <w:t xml:space="preserve">subject to a </w:t>
      </w:r>
      <w:r w:rsidR="00C67BE8" w:rsidRPr="00477575">
        <w:t xml:space="preserve">floor </w:t>
      </w:r>
      <w:r w:rsidR="00C67BE8">
        <w:t>of</w:t>
      </w:r>
      <w:r w:rsidR="00C67BE8" w:rsidRPr="00477575">
        <w:t xml:space="preserve"> 3</w:t>
      </w:r>
      <w:r w:rsidR="00C67BE8">
        <w:t>.0</w:t>
      </w:r>
      <w:r w:rsidR="00C67BE8" w:rsidRPr="00477575">
        <w:t>%</w:t>
      </w:r>
      <w:r w:rsidR="00C67BE8">
        <w:t xml:space="preserve"> and a </w:t>
      </w:r>
      <w:r w:rsidR="00C67BE8" w:rsidRPr="00477575">
        <w:t>cap at 5</w:t>
      </w:r>
      <w:r w:rsidR="00C67BE8">
        <w:t>.0</w:t>
      </w:r>
      <w:r w:rsidR="00C67BE8" w:rsidRPr="00477575">
        <w:t>%</w:t>
      </w:r>
      <w:r w:rsidR="00C67BE8">
        <w:t>.</w:t>
      </w:r>
    </w:p>
    <w:p w14:paraId="39F0FE4F" w14:textId="77777777" w:rsidR="00004F63" w:rsidRPr="00066035" w:rsidRDefault="00004F63" w:rsidP="0037625D">
      <w:pPr>
        <w:pStyle w:val="Heading4"/>
        <w:jc w:val="both"/>
      </w:pPr>
      <w:r w:rsidRPr="00066035">
        <w:t>Terms and debt repayment schedule</w:t>
      </w:r>
    </w:p>
    <w:p w14:paraId="6D58F257" w14:textId="77777777" w:rsidR="00004F63" w:rsidRPr="00066035" w:rsidRDefault="00004F63" w:rsidP="0037625D">
      <w:pPr>
        <w:jc w:val="both"/>
      </w:pPr>
      <w:r w:rsidRPr="00066035">
        <w:t>The maturity date is the date on which the relevant bank loans are due to be fully repaid, as at the balance sheet date.</w:t>
      </w:r>
    </w:p>
    <w:p w14:paraId="0855E50D" w14:textId="77777777" w:rsidR="00004F63" w:rsidRPr="00066035" w:rsidRDefault="00004F63" w:rsidP="0037625D">
      <w:pPr>
        <w:jc w:val="both"/>
      </w:pPr>
      <w:r w:rsidRPr="00066035">
        <w:t>The carrying amounts drawn (after issue costs and including interest accrued) under facilities in place at the balance sheet date were as follows:</w:t>
      </w:r>
    </w:p>
    <w:tbl>
      <w:tblPr>
        <w:tblW w:w="9098" w:type="dxa"/>
        <w:tblInd w:w="-26" w:type="dxa"/>
        <w:tblLayout w:type="fixed"/>
        <w:tblCellMar>
          <w:left w:w="0" w:type="dxa"/>
          <w:right w:w="57" w:type="dxa"/>
        </w:tblCellMar>
        <w:tblLook w:val="0000" w:firstRow="0" w:lastRow="0" w:firstColumn="0" w:lastColumn="0" w:noHBand="0" w:noVBand="0"/>
      </w:tblPr>
      <w:tblGrid>
        <w:gridCol w:w="3854"/>
        <w:gridCol w:w="1276"/>
        <w:gridCol w:w="1559"/>
        <w:gridCol w:w="1204"/>
        <w:gridCol w:w="1205"/>
      </w:tblGrid>
      <w:tr w:rsidR="009E3D84" w:rsidRPr="00066035" w14:paraId="38F618BD" w14:textId="77777777" w:rsidTr="00431BF6">
        <w:tc>
          <w:tcPr>
            <w:tcW w:w="3854" w:type="dxa"/>
            <w:tcBorders>
              <w:bottom w:val="single" w:sz="4" w:space="0" w:color="93B7BB"/>
            </w:tcBorders>
            <w:vAlign w:val="bottom"/>
          </w:tcPr>
          <w:p w14:paraId="6240D77F" w14:textId="77777777" w:rsidR="00004F63" w:rsidRPr="00066035" w:rsidRDefault="00004F63" w:rsidP="00520CBD">
            <w:pPr>
              <w:pStyle w:val="Tableheading"/>
            </w:pPr>
            <w:r w:rsidRPr="00066035">
              <w:t>(£ million)</w:t>
            </w:r>
          </w:p>
        </w:tc>
        <w:tc>
          <w:tcPr>
            <w:tcW w:w="1276" w:type="dxa"/>
            <w:tcBorders>
              <w:bottom w:val="single" w:sz="4" w:space="0" w:color="93B7BB"/>
            </w:tcBorders>
            <w:vAlign w:val="bottom"/>
          </w:tcPr>
          <w:p w14:paraId="6C9810AE" w14:textId="77777777" w:rsidR="00004F63" w:rsidRPr="00066035" w:rsidRDefault="00004F63" w:rsidP="00520CBD">
            <w:pPr>
              <w:pStyle w:val="Tableheading"/>
              <w:jc w:val="right"/>
            </w:pPr>
            <w:r w:rsidRPr="00066035">
              <w:t>Maturity</w:t>
            </w:r>
          </w:p>
        </w:tc>
        <w:tc>
          <w:tcPr>
            <w:tcW w:w="1559" w:type="dxa"/>
            <w:tcBorders>
              <w:bottom w:val="single" w:sz="4" w:space="0" w:color="93B7BB"/>
            </w:tcBorders>
            <w:vAlign w:val="bottom"/>
          </w:tcPr>
          <w:p w14:paraId="20C4D27B" w14:textId="77777777" w:rsidR="00004F63" w:rsidRPr="00066035" w:rsidRDefault="00004F63" w:rsidP="00520CBD">
            <w:pPr>
              <w:pStyle w:val="Tableheading"/>
              <w:jc w:val="right"/>
            </w:pPr>
            <w:r w:rsidRPr="00066035">
              <w:t>Margin over LIBOR</w:t>
            </w:r>
          </w:p>
        </w:tc>
        <w:tc>
          <w:tcPr>
            <w:tcW w:w="1204" w:type="dxa"/>
            <w:tcBorders>
              <w:bottom w:val="single" w:sz="4" w:space="0" w:color="93B7BB"/>
            </w:tcBorders>
            <w:vAlign w:val="bottom"/>
          </w:tcPr>
          <w:p w14:paraId="39CB887C" w14:textId="2CBC4BAD" w:rsidR="00004F63" w:rsidRPr="00520CBD" w:rsidRDefault="00004F63" w:rsidP="00431BF6">
            <w:pPr>
              <w:pStyle w:val="Tableheading"/>
              <w:jc w:val="right"/>
              <w:rPr>
                <w:b/>
                <w:iCs/>
              </w:rPr>
            </w:pPr>
            <w:r w:rsidRPr="00520CBD">
              <w:rPr>
                <w:b/>
                <w:iCs/>
              </w:rPr>
              <w:t>201</w:t>
            </w:r>
            <w:r w:rsidR="00431BF6">
              <w:rPr>
                <w:b/>
                <w:iCs/>
              </w:rPr>
              <w:t>5</w:t>
            </w:r>
          </w:p>
        </w:tc>
        <w:tc>
          <w:tcPr>
            <w:tcW w:w="1205" w:type="dxa"/>
            <w:tcBorders>
              <w:bottom w:val="single" w:sz="4" w:space="0" w:color="93B7BB"/>
            </w:tcBorders>
            <w:vAlign w:val="bottom"/>
          </w:tcPr>
          <w:p w14:paraId="503FC1AE" w14:textId="4F2521A6" w:rsidR="00004F63" w:rsidRPr="00066035" w:rsidRDefault="00004F63" w:rsidP="00431BF6">
            <w:pPr>
              <w:pStyle w:val="Tableheading"/>
              <w:jc w:val="right"/>
              <w:rPr>
                <w:iCs/>
              </w:rPr>
            </w:pPr>
            <w:r w:rsidRPr="00066035">
              <w:rPr>
                <w:iCs/>
              </w:rPr>
              <w:t>201</w:t>
            </w:r>
            <w:r w:rsidR="00431BF6">
              <w:rPr>
                <w:iCs/>
              </w:rPr>
              <w:t>4</w:t>
            </w:r>
          </w:p>
        </w:tc>
      </w:tr>
      <w:tr w:rsidR="00004F63" w:rsidRPr="00066035" w14:paraId="74A8B1C9" w14:textId="77777777" w:rsidTr="00431BF6">
        <w:tc>
          <w:tcPr>
            <w:tcW w:w="3854" w:type="dxa"/>
          </w:tcPr>
          <w:p w14:paraId="541FCD0C" w14:textId="35C878E2" w:rsidR="00004F63" w:rsidRPr="00066035" w:rsidRDefault="006F78F0" w:rsidP="006F78F0">
            <w:pPr>
              <w:pStyle w:val="Tabletext"/>
            </w:pPr>
            <w:r>
              <w:t>Senior finance facility</w:t>
            </w:r>
          </w:p>
        </w:tc>
        <w:tc>
          <w:tcPr>
            <w:tcW w:w="1276" w:type="dxa"/>
            <w:vAlign w:val="bottom"/>
          </w:tcPr>
          <w:p w14:paraId="630A1CA6" w14:textId="77777777" w:rsidR="00004F63" w:rsidRPr="00066035" w:rsidRDefault="00004F63" w:rsidP="00520CBD">
            <w:pPr>
              <w:pStyle w:val="Tabletext"/>
              <w:jc w:val="right"/>
            </w:pPr>
            <w:r w:rsidRPr="00066035">
              <w:t>July 2019</w:t>
            </w:r>
          </w:p>
        </w:tc>
        <w:tc>
          <w:tcPr>
            <w:tcW w:w="1559" w:type="dxa"/>
            <w:vAlign w:val="bottom"/>
          </w:tcPr>
          <w:p w14:paraId="15F9FD99" w14:textId="6E3E79E9" w:rsidR="00004F63" w:rsidRPr="00066035" w:rsidRDefault="00004F63" w:rsidP="006F78F0">
            <w:pPr>
              <w:pStyle w:val="Tabletext"/>
              <w:jc w:val="right"/>
            </w:pPr>
            <w:r w:rsidRPr="00066035">
              <w:t>2.</w:t>
            </w:r>
            <w:r w:rsidR="006F78F0">
              <w:t>00</w:t>
            </w:r>
            <w:r w:rsidRPr="00066035">
              <w:t>%</w:t>
            </w:r>
          </w:p>
        </w:tc>
        <w:tc>
          <w:tcPr>
            <w:tcW w:w="1204" w:type="dxa"/>
            <w:shd w:val="clear" w:color="auto" w:fill="EFF4F5"/>
            <w:vAlign w:val="bottom"/>
          </w:tcPr>
          <w:p w14:paraId="3282A2A3" w14:textId="6DD7CA44" w:rsidR="00004F63" w:rsidRPr="00520CBD" w:rsidRDefault="006F78F0" w:rsidP="00520CBD">
            <w:pPr>
              <w:pStyle w:val="Tabletext"/>
              <w:jc w:val="right"/>
              <w:rPr>
                <w:b/>
              </w:rPr>
            </w:pPr>
            <w:r>
              <w:rPr>
                <w:b/>
              </w:rPr>
              <w:t>423.1</w:t>
            </w:r>
          </w:p>
        </w:tc>
        <w:tc>
          <w:tcPr>
            <w:tcW w:w="1205" w:type="dxa"/>
            <w:vAlign w:val="bottom"/>
          </w:tcPr>
          <w:p w14:paraId="58A608B3" w14:textId="382591B5" w:rsidR="00004F63" w:rsidRPr="00066035" w:rsidRDefault="00917800" w:rsidP="00917800">
            <w:pPr>
              <w:pStyle w:val="Tabletext"/>
              <w:jc w:val="right"/>
            </w:pPr>
            <w:r>
              <w:t>422.2</w:t>
            </w:r>
          </w:p>
        </w:tc>
      </w:tr>
      <w:tr w:rsidR="00500A32" w:rsidRPr="00066035" w14:paraId="21BE72AB" w14:textId="77777777" w:rsidTr="00431BF6">
        <w:tc>
          <w:tcPr>
            <w:tcW w:w="5130" w:type="dxa"/>
            <w:gridSpan w:val="2"/>
            <w:tcBorders>
              <w:top w:val="single" w:sz="4" w:space="0" w:color="93B7BB"/>
              <w:bottom w:val="single" w:sz="4" w:space="0" w:color="93B7BB"/>
            </w:tcBorders>
          </w:tcPr>
          <w:p w14:paraId="2E48F481" w14:textId="77777777" w:rsidR="00500A32" w:rsidRPr="00066035" w:rsidRDefault="00500A32" w:rsidP="00520CBD">
            <w:pPr>
              <w:pStyle w:val="Tabletext"/>
            </w:pPr>
          </w:p>
        </w:tc>
        <w:tc>
          <w:tcPr>
            <w:tcW w:w="1559" w:type="dxa"/>
            <w:tcBorders>
              <w:top w:val="single" w:sz="4" w:space="0" w:color="93B7BB"/>
              <w:bottom w:val="single" w:sz="4" w:space="0" w:color="93B7BB"/>
            </w:tcBorders>
            <w:vAlign w:val="bottom"/>
          </w:tcPr>
          <w:p w14:paraId="3FD8C477" w14:textId="77777777" w:rsidR="00500A32" w:rsidRPr="00066035" w:rsidRDefault="00500A32" w:rsidP="00520CBD">
            <w:pPr>
              <w:pStyle w:val="Tabletext"/>
              <w:jc w:val="right"/>
            </w:pPr>
          </w:p>
        </w:tc>
        <w:tc>
          <w:tcPr>
            <w:tcW w:w="1204" w:type="dxa"/>
            <w:tcBorders>
              <w:top w:val="single" w:sz="4" w:space="0" w:color="93B7BB"/>
              <w:bottom w:val="single" w:sz="4" w:space="0" w:color="93B7BB"/>
            </w:tcBorders>
            <w:shd w:val="clear" w:color="auto" w:fill="EFF4F5"/>
            <w:vAlign w:val="bottom"/>
          </w:tcPr>
          <w:p w14:paraId="79F5EDA2" w14:textId="77777777" w:rsidR="00500A32" w:rsidRPr="00520CBD" w:rsidRDefault="00500A32" w:rsidP="00520CBD">
            <w:pPr>
              <w:pStyle w:val="Tabletext"/>
              <w:jc w:val="right"/>
              <w:rPr>
                <w:b/>
              </w:rPr>
            </w:pPr>
          </w:p>
        </w:tc>
        <w:tc>
          <w:tcPr>
            <w:tcW w:w="1205" w:type="dxa"/>
            <w:tcBorders>
              <w:top w:val="single" w:sz="4" w:space="0" w:color="93B7BB"/>
              <w:bottom w:val="single" w:sz="4" w:space="0" w:color="93B7BB"/>
            </w:tcBorders>
            <w:vAlign w:val="bottom"/>
          </w:tcPr>
          <w:p w14:paraId="6AAA48F9" w14:textId="77777777" w:rsidR="00500A32" w:rsidRPr="00066035" w:rsidRDefault="00500A32" w:rsidP="00520CBD">
            <w:pPr>
              <w:pStyle w:val="Tabletext"/>
              <w:jc w:val="right"/>
            </w:pPr>
          </w:p>
        </w:tc>
      </w:tr>
      <w:tr w:rsidR="009E3D84" w:rsidRPr="00066035" w14:paraId="4736DCF2" w14:textId="77777777" w:rsidTr="00431BF6">
        <w:tc>
          <w:tcPr>
            <w:tcW w:w="5130" w:type="dxa"/>
            <w:gridSpan w:val="2"/>
            <w:tcBorders>
              <w:top w:val="single" w:sz="4" w:space="0" w:color="93B7BB"/>
              <w:bottom w:val="single" w:sz="4" w:space="0" w:color="93B7BB"/>
            </w:tcBorders>
          </w:tcPr>
          <w:p w14:paraId="2241C76A" w14:textId="77777777" w:rsidR="00004F63" w:rsidRPr="00066035" w:rsidRDefault="00004F63" w:rsidP="00520CBD">
            <w:pPr>
              <w:pStyle w:val="Tabletext"/>
            </w:pPr>
            <w:r w:rsidRPr="00066035">
              <w:t>Revolving credit facility (undrawn committed facility)</w:t>
            </w:r>
          </w:p>
        </w:tc>
        <w:tc>
          <w:tcPr>
            <w:tcW w:w="1559" w:type="dxa"/>
            <w:tcBorders>
              <w:top w:val="single" w:sz="4" w:space="0" w:color="93B7BB"/>
              <w:bottom w:val="single" w:sz="4" w:space="0" w:color="93B7BB"/>
            </w:tcBorders>
            <w:vAlign w:val="bottom"/>
          </w:tcPr>
          <w:p w14:paraId="508BF750" w14:textId="77777777" w:rsidR="00004F63" w:rsidRPr="00066035" w:rsidRDefault="00004F63" w:rsidP="00520CBD">
            <w:pPr>
              <w:pStyle w:val="Tabletext"/>
              <w:jc w:val="right"/>
            </w:pPr>
          </w:p>
        </w:tc>
        <w:tc>
          <w:tcPr>
            <w:tcW w:w="1204" w:type="dxa"/>
            <w:tcBorders>
              <w:top w:val="single" w:sz="4" w:space="0" w:color="93B7BB"/>
              <w:bottom w:val="single" w:sz="4" w:space="0" w:color="93B7BB"/>
            </w:tcBorders>
            <w:shd w:val="clear" w:color="auto" w:fill="EFF4F5"/>
            <w:vAlign w:val="bottom"/>
          </w:tcPr>
          <w:p w14:paraId="249B8EAE" w14:textId="77777777" w:rsidR="00004F63" w:rsidRPr="00520CBD" w:rsidRDefault="00004F63" w:rsidP="00520CBD">
            <w:pPr>
              <w:pStyle w:val="Tabletext"/>
              <w:jc w:val="right"/>
              <w:rPr>
                <w:b/>
              </w:rPr>
            </w:pPr>
            <w:r w:rsidRPr="00520CBD">
              <w:rPr>
                <w:b/>
              </w:rPr>
              <w:t>100.0</w:t>
            </w:r>
          </w:p>
        </w:tc>
        <w:tc>
          <w:tcPr>
            <w:tcW w:w="1205" w:type="dxa"/>
            <w:tcBorders>
              <w:top w:val="single" w:sz="4" w:space="0" w:color="93B7BB"/>
              <w:bottom w:val="single" w:sz="4" w:space="0" w:color="93B7BB"/>
            </w:tcBorders>
            <w:vAlign w:val="bottom"/>
          </w:tcPr>
          <w:p w14:paraId="7EBD8226" w14:textId="700B6926" w:rsidR="00004F63" w:rsidRPr="00066035" w:rsidRDefault="00917800" w:rsidP="00917800">
            <w:pPr>
              <w:pStyle w:val="Tabletext"/>
              <w:jc w:val="right"/>
            </w:pPr>
            <w:r>
              <w:t>100</w:t>
            </w:r>
            <w:r w:rsidR="00004F63" w:rsidRPr="00066035">
              <w:t>.</w:t>
            </w:r>
            <w:r>
              <w:t>0</w:t>
            </w:r>
          </w:p>
        </w:tc>
      </w:tr>
    </w:tbl>
    <w:p w14:paraId="1EC7148C" w14:textId="77777777" w:rsidR="00004F63" w:rsidRDefault="00004F63" w:rsidP="00520CBD">
      <w:pPr>
        <w:pStyle w:val="Footnote"/>
      </w:pPr>
    </w:p>
    <w:p w14:paraId="566BF029" w14:textId="1908ECB2" w:rsidR="00D94AEE" w:rsidRDefault="00004F63" w:rsidP="006F78F0">
      <w:pPr>
        <w:jc w:val="both"/>
      </w:pPr>
      <w:r w:rsidRPr="00D94AEE">
        <w:t xml:space="preserve">On 23 July 2014, the Group was refinanced, </w:t>
      </w:r>
      <w:r w:rsidR="00500A32">
        <w:t xml:space="preserve">and </w:t>
      </w:r>
      <w:r w:rsidRPr="00D94AEE">
        <w:t xml:space="preserve">it entered into a bank loan facility with a syndicate of banks, comprising a </w:t>
      </w:r>
      <w:r w:rsidR="00176A25">
        <w:t>five</w:t>
      </w:r>
      <w:r w:rsidR="008A77CC">
        <w:t>-</w:t>
      </w:r>
      <w:r w:rsidRPr="00D94AEE">
        <w:t xml:space="preserve">year, £425.0 million term loan and a </w:t>
      </w:r>
      <w:r w:rsidR="00176A25">
        <w:t>five</w:t>
      </w:r>
      <w:r w:rsidR="008A77CC">
        <w:t>-</w:t>
      </w:r>
      <w:r w:rsidRPr="00D94AEE">
        <w:t xml:space="preserve">year £100.0 million revolving facility. The </w:t>
      </w:r>
      <w:r w:rsidR="00431BF6" w:rsidRPr="00D94AEE">
        <w:t xml:space="preserve">loan </w:t>
      </w:r>
      <w:r w:rsidR="00431BF6">
        <w:t>is</w:t>
      </w:r>
      <w:r w:rsidR="00431BF6" w:rsidRPr="00D94AEE">
        <w:t xml:space="preserve"> non</w:t>
      </w:r>
      <w:r w:rsidR="008A77CC">
        <w:t>-</w:t>
      </w:r>
      <w:r w:rsidR="00431BF6" w:rsidRPr="00D94AEE">
        <w:t>amortising and carries</w:t>
      </w:r>
      <w:r w:rsidRPr="00D94AEE">
        <w:t xml:space="preserve"> interest at a margin of 2.</w:t>
      </w:r>
      <w:r w:rsidR="006F78F0">
        <w:t>00</w:t>
      </w:r>
      <w:r w:rsidRPr="00D94AEE">
        <w:t>% over LIBOR</w:t>
      </w:r>
      <w:r w:rsidR="006F78F0">
        <w:t xml:space="preserve"> (2014: </w:t>
      </w:r>
      <w:r w:rsidR="006F78F0" w:rsidRPr="00D94AEE">
        <w:t>2.</w:t>
      </w:r>
      <w:r w:rsidR="006F78F0">
        <w:t>25</w:t>
      </w:r>
      <w:r w:rsidR="006F78F0" w:rsidRPr="00D94AEE">
        <w:t>% over LIBOR</w:t>
      </w:r>
      <w:r w:rsidR="006F78F0">
        <w:t>)</w:t>
      </w:r>
      <w:r w:rsidRPr="00D94AEE">
        <w:t>.</w:t>
      </w:r>
    </w:p>
    <w:p w14:paraId="3670120F" w14:textId="77777777" w:rsidR="00A120B2" w:rsidRDefault="00A120B2">
      <w:pPr>
        <w:spacing w:after="160" w:line="259" w:lineRule="auto"/>
        <w:rPr>
          <w:rFonts w:asciiTheme="majorHAnsi" w:eastAsiaTheme="majorEastAsia" w:hAnsiTheme="majorHAnsi" w:cstheme="majorBidi"/>
          <w:b/>
          <w:caps/>
          <w:color w:val="93B6BB"/>
          <w:szCs w:val="24"/>
        </w:rPr>
      </w:pPr>
      <w:r>
        <w:br w:type="page"/>
      </w:r>
    </w:p>
    <w:p w14:paraId="57595D21" w14:textId="60B26240" w:rsidR="00814D35" w:rsidRPr="00066035" w:rsidRDefault="00814D35" w:rsidP="00814D35">
      <w:pPr>
        <w:pStyle w:val="Heading3"/>
      </w:pPr>
      <w:r>
        <w:lastRenderedPageBreak/>
        <w:t xml:space="preserve">17. Provisions </w:t>
      </w:r>
    </w:p>
    <w:tbl>
      <w:tblPr>
        <w:tblW w:w="9072" w:type="dxa"/>
        <w:tblLayout w:type="fixed"/>
        <w:tblCellMar>
          <w:left w:w="0" w:type="dxa"/>
          <w:right w:w="57" w:type="dxa"/>
        </w:tblCellMar>
        <w:tblLook w:val="0000" w:firstRow="0" w:lastRow="0" w:firstColumn="0" w:lastColumn="0" w:noHBand="0" w:noVBand="0"/>
      </w:tblPr>
      <w:tblGrid>
        <w:gridCol w:w="6663"/>
        <w:gridCol w:w="1134"/>
        <w:gridCol w:w="1275"/>
      </w:tblGrid>
      <w:tr w:rsidR="00814D35" w:rsidRPr="00CE0A31" w14:paraId="3A6C2386" w14:textId="77777777" w:rsidTr="00814D35">
        <w:tc>
          <w:tcPr>
            <w:tcW w:w="6663" w:type="dxa"/>
            <w:tcBorders>
              <w:bottom w:val="single" w:sz="4" w:space="0" w:color="93B7BB"/>
            </w:tcBorders>
            <w:vAlign w:val="bottom"/>
          </w:tcPr>
          <w:p w14:paraId="65DA061F" w14:textId="77777777" w:rsidR="00814D35" w:rsidRPr="00520CBD" w:rsidRDefault="00814D35" w:rsidP="00814D35">
            <w:pPr>
              <w:pStyle w:val="Tableheading"/>
            </w:pPr>
            <w:r w:rsidRPr="00520CBD">
              <w:t>(£ million)</w:t>
            </w:r>
          </w:p>
        </w:tc>
        <w:tc>
          <w:tcPr>
            <w:tcW w:w="1134" w:type="dxa"/>
            <w:tcBorders>
              <w:bottom w:val="single" w:sz="4" w:space="0" w:color="93B7BB"/>
            </w:tcBorders>
            <w:shd w:val="clear" w:color="auto" w:fill="EFF4F5"/>
            <w:vAlign w:val="bottom"/>
          </w:tcPr>
          <w:p w14:paraId="7829CE84" w14:textId="77777777" w:rsidR="00814D35" w:rsidRPr="00520CBD" w:rsidRDefault="00814D35" w:rsidP="00814D35">
            <w:pPr>
              <w:pStyle w:val="Tableheading"/>
              <w:jc w:val="right"/>
              <w:rPr>
                <w:b/>
              </w:rPr>
            </w:pPr>
            <w:r w:rsidRPr="00520CBD">
              <w:rPr>
                <w:b/>
              </w:rPr>
              <w:t>201</w:t>
            </w:r>
            <w:r>
              <w:rPr>
                <w:b/>
              </w:rPr>
              <w:t>5</w:t>
            </w:r>
          </w:p>
        </w:tc>
        <w:tc>
          <w:tcPr>
            <w:tcW w:w="1275" w:type="dxa"/>
            <w:tcBorders>
              <w:bottom w:val="single" w:sz="4" w:space="0" w:color="93B7BB"/>
            </w:tcBorders>
            <w:vAlign w:val="bottom"/>
          </w:tcPr>
          <w:p w14:paraId="76E4966F" w14:textId="77777777" w:rsidR="00814D35" w:rsidRPr="00520CBD" w:rsidRDefault="00814D35" w:rsidP="00814D35">
            <w:pPr>
              <w:pStyle w:val="Tableheading"/>
              <w:jc w:val="right"/>
            </w:pPr>
            <w:r w:rsidRPr="00520CBD">
              <w:t>201</w:t>
            </w:r>
            <w:r>
              <w:t>4</w:t>
            </w:r>
          </w:p>
        </w:tc>
      </w:tr>
      <w:tr w:rsidR="00814D35" w:rsidRPr="00CE0A31" w14:paraId="5C7F24E0" w14:textId="77777777" w:rsidTr="00814D35">
        <w:tc>
          <w:tcPr>
            <w:tcW w:w="6663" w:type="dxa"/>
            <w:tcBorders>
              <w:top w:val="single" w:sz="4" w:space="0" w:color="93B7BB"/>
            </w:tcBorders>
            <w:vAlign w:val="bottom"/>
          </w:tcPr>
          <w:p w14:paraId="619BA79D" w14:textId="206621DC" w:rsidR="00814D35" w:rsidRPr="00CE0A31" w:rsidRDefault="00814D35" w:rsidP="00814D35">
            <w:pPr>
              <w:pStyle w:val="Tabletext"/>
            </w:pPr>
            <w:r>
              <w:t>At beginning of year</w:t>
            </w:r>
          </w:p>
        </w:tc>
        <w:tc>
          <w:tcPr>
            <w:tcW w:w="1134" w:type="dxa"/>
            <w:tcBorders>
              <w:top w:val="single" w:sz="4" w:space="0" w:color="93B7BB"/>
            </w:tcBorders>
            <w:shd w:val="clear" w:color="auto" w:fill="EFF4F5"/>
            <w:vAlign w:val="bottom"/>
          </w:tcPr>
          <w:p w14:paraId="2B7A2D5E" w14:textId="2F59239C" w:rsidR="00814D35" w:rsidRPr="00520CBD" w:rsidRDefault="00814D35" w:rsidP="00814D35">
            <w:pPr>
              <w:pStyle w:val="Tabletext"/>
              <w:jc w:val="right"/>
              <w:rPr>
                <w:b/>
              </w:rPr>
            </w:pPr>
            <w:r>
              <w:rPr>
                <w:b/>
              </w:rPr>
              <w:t>6.2</w:t>
            </w:r>
          </w:p>
        </w:tc>
        <w:tc>
          <w:tcPr>
            <w:tcW w:w="1275" w:type="dxa"/>
            <w:tcBorders>
              <w:top w:val="single" w:sz="4" w:space="0" w:color="93B7BB"/>
            </w:tcBorders>
            <w:vAlign w:val="bottom"/>
          </w:tcPr>
          <w:p w14:paraId="092B483E" w14:textId="40168B44" w:rsidR="00814D35" w:rsidRPr="000B5CE0" w:rsidRDefault="00814D35" w:rsidP="00814D35">
            <w:pPr>
              <w:pStyle w:val="Tabletext"/>
              <w:jc w:val="right"/>
            </w:pPr>
            <w:r>
              <w:t>3</w:t>
            </w:r>
            <w:r w:rsidRPr="000B5CE0">
              <w:t>.</w:t>
            </w:r>
            <w:r>
              <w:t>2</w:t>
            </w:r>
          </w:p>
        </w:tc>
      </w:tr>
      <w:tr w:rsidR="00814D35" w:rsidRPr="00CE0A31" w14:paraId="28FFB62A" w14:textId="77777777" w:rsidTr="00814D35">
        <w:tc>
          <w:tcPr>
            <w:tcW w:w="6663" w:type="dxa"/>
            <w:vAlign w:val="bottom"/>
          </w:tcPr>
          <w:p w14:paraId="14B6819D" w14:textId="28FD8B59" w:rsidR="00814D35" w:rsidRPr="00CE0A31" w:rsidRDefault="00814D35" w:rsidP="00814D35">
            <w:pPr>
              <w:pStyle w:val="Tabletext"/>
            </w:pPr>
            <w:r>
              <w:t>Acquired on acquisition of subsidiary undertaking</w:t>
            </w:r>
          </w:p>
        </w:tc>
        <w:tc>
          <w:tcPr>
            <w:tcW w:w="1134" w:type="dxa"/>
            <w:shd w:val="clear" w:color="auto" w:fill="EFF4F5"/>
            <w:vAlign w:val="bottom"/>
          </w:tcPr>
          <w:p w14:paraId="38972E84" w14:textId="6A706944" w:rsidR="00814D35" w:rsidRPr="00814D35" w:rsidRDefault="00814D35" w:rsidP="00814D35">
            <w:pPr>
              <w:pStyle w:val="Tabletext"/>
              <w:jc w:val="right"/>
              <w:rPr>
                <w:b/>
              </w:rPr>
            </w:pPr>
            <w:r w:rsidRPr="00814D35">
              <w:rPr>
                <w:b/>
              </w:rPr>
              <w:t>–</w:t>
            </w:r>
          </w:p>
        </w:tc>
        <w:tc>
          <w:tcPr>
            <w:tcW w:w="1275" w:type="dxa"/>
            <w:vAlign w:val="bottom"/>
          </w:tcPr>
          <w:p w14:paraId="1AE04690" w14:textId="47F41470" w:rsidR="00814D35" w:rsidRPr="000B5CE0" w:rsidRDefault="00814D35" w:rsidP="00814D35">
            <w:pPr>
              <w:pStyle w:val="Tabletext"/>
              <w:jc w:val="right"/>
            </w:pPr>
            <w:r>
              <w:t>0.7</w:t>
            </w:r>
          </w:p>
        </w:tc>
      </w:tr>
      <w:tr w:rsidR="00814D35" w:rsidRPr="00CE0A31" w14:paraId="2AA03375" w14:textId="77777777" w:rsidTr="00814D35">
        <w:tc>
          <w:tcPr>
            <w:tcW w:w="6663" w:type="dxa"/>
            <w:vAlign w:val="bottom"/>
          </w:tcPr>
          <w:p w14:paraId="74FC3768" w14:textId="5C863CBA" w:rsidR="00814D35" w:rsidRPr="00CE0A31" w:rsidRDefault="00814D35" w:rsidP="00814D35">
            <w:pPr>
              <w:pStyle w:val="Tabletext"/>
            </w:pPr>
            <w:r>
              <w:t>Additional provisions for the year</w:t>
            </w:r>
          </w:p>
        </w:tc>
        <w:tc>
          <w:tcPr>
            <w:tcW w:w="1134" w:type="dxa"/>
            <w:shd w:val="clear" w:color="auto" w:fill="EFF4F5"/>
            <w:vAlign w:val="bottom"/>
          </w:tcPr>
          <w:p w14:paraId="0AE67BEF" w14:textId="74DCC6EF" w:rsidR="00814D35" w:rsidRPr="00520CBD" w:rsidRDefault="00B76DDE" w:rsidP="00B76DDE">
            <w:pPr>
              <w:pStyle w:val="Tabletext"/>
              <w:jc w:val="right"/>
              <w:rPr>
                <w:b/>
              </w:rPr>
            </w:pPr>
            <w:r>
              <w:rPr>
                <w:b/>
              </w:rPr>
              <w:t>8</w:t>
            </w:r>
            <w:r w:rsidR="00814D35">
              <w:rPr>
                <w:b/>
              </w:rPr>
              <w:t>.</w:t>
            </w:r>
            <w:r>
              <w:rPr>
                <w:b/>
              </w:rPr>
              <w:t>5</w:t>
            </w:r>
          </w:p>
        </w:tc>
        <w:tc>
          <w:tcPr>
            <w:tcW w:w="1275" w:type="dxa"/>
            <w:vAlign w:val="bottom"/>
          </w:tcPr>
          <w:p w14:paraId="472D298F" w14:textId="6BA54631" w:rsidR="00814D35" w:rsidRPr="000B5CE0" w:rsidRDefault="00814D35" w:rsidP="00814D35">
            <w:pPr>
              <w:pStyle w:val="Tabletext"/>
              <w:jc w:val="right"/>
            </w:pPr>
            <w:r>
              <w:t>3</w:t>
            </w:r>
            <w:r w:rsidRPr="000B5CE0">
              <w:t>.</w:t>
            </w:r>
            <w:r>
              <w:t>5</w:t>
            </w:r>
          </w:p>
        </w:tc>
      </w:tr>
      <w:tr w:rsidR="00814D35" w:rsidRPr="00CE0A31" w14:paraId="317F615B" w14:textId="77777777" w:rsidTr="00814D35">
        <w:tc>
          <w:tcPr>
            <w:tcW w:w="6663" w:type="dxa"/>
            <w:vAlign w:val="bottom"/>
          </w:tcPr>
          <w:p w14:paraId="1FACA116" w14:textId="4E33B9D9" w:rsidR="00814D35" w:rsidRPr="00DD1EC0" w:rsidRDefault="00814D35" w:rsidP="00814D35">
            <w:pPr>
              <w:pStyle w:val="Tabletext"/>
            </w:pPr>
            <w:r>
              <w:t>Cash received for settlement of claims</w:t>
            </w:r>
          </w:p>
        </w:tc>
        <w:tc>
          <w:tcPr>
            <w:tcW w:w="1134" w:type="dxa"/>
            <w:shd w:val="clear" w:color="auto" w:fill="EFF4F5"/>
            <w:vAlign w:val="bottom"/>
          </w:tcPr>
          <w:p w14:paraId="3CAC90D9" w14:textId="54C8B702" w:rsidR="00814D35" w:rsidRDefault="00B76DDE" w:rsidP="00814D35">
            <w:pPr>
              <w:pStyle w:val="Tabletext"/>
              <w:jc w:val="right"/>
              <w:rPr>
                <w:b/>
              </w:rPr>
            </w:pPr>
            <w:r>
              <w:rPr>
                <w:b/>
              </w:rPr>
              <w:t>4.5</w:t>
            </w:r>
          </w:p>
        </w:tc>
        <w:tc>
          <w:tcPr>
            <w:tcW w:w="1275" w:type="dxa"/>
            <w:vAlign w:val="bottom"/>
          </w:tcPr>
          <w:p w14:paraId="433DB617" w14:textId="5AA07B63" w:rsidR="00814D35" w:rsidRPr="00814D35" w:rsidRDefault="00814D35" w:rsidP="00814D35">
            <w:pPr>
              <w:pStyle w:val="Tabletext"/>
              <w:jc w:val="right"/>
            </w:pPr>
            <w:r w:rsidRPr="00814D35">
              <w:t>–</w:t>
            </w:r>
          </w:p>
        </w:tc>
      </w:tr>
      <w:tr w:rsidR="00814D35" w:rsidRPr="00CE0A31" w14:paraId="1B490574" w14:textId="77777777" w:rsidTr="00814D35">
        <w:tc>
          <w:tcPr>
            <w:tcW w:w="6663" w:type="dxa"/>
            <w:tcBorders>
              <w:bottom w:val="single" w:sz="4" w:space="0" w:color="93B7BB"/>
            </w:tcBorders>
            <w:vAlign w:val="bottom"/>
          </w:tcPr>
          <w:p w14:paraId="5EE2E78B" w14:textId="7BA4DC58" w:rsidR="00814D35" w:rsidRPr="00CE0A31" w:rsidRDefault="00814D35" w:rsidP="00814D35">
            <w:pPr>
              <w:pStyle w:val="Tabletext"/>
            </w:pPr>
            <w:r>
              <w:t>Utilised during the year</w:t>
            </w:r>
          </w:p>
        </w:tc>
        <w:tc>
          <w:tcPr>
            <w:tcW w:w="1134" w:type="dxa"/>
            <w:tcBorders>
              <w:bottom w:val="single" w:sz="4" w:space="0" w:color="93B7BB"/>
            </w:tcBorders>
            <w:shd w:val="clear" w:color="auto" w:fill="EFF4F5"/>
            <w:vAlign w:val="bottom"/>
          </w:tcPr>
          <w:p w14:paraId="41D9A9BF" w14:textId="2281FB80" w:rsidR="00814D35" w:rsidRPr="00520CBD" w:rsidRDefault="00B76DDE" w:rsidP="00B76DDE">
            <w:pPr>
              <w:pStyle w:val="Tabletext"/>
              <w:jc w:val="right"/>
              <w:rPr>
                <w:b/>
              </w:rPr>
            </w:pPr>
            <w:r>
              <w:rPr>
                <w:b/>
              </w:rPr>
              <w:t>(</w:t>
            </w:r>
            <w:r w:rsidR="00814D35">
              <w:rPr>
                <w:b/>
              </w:rPr>
              <w:t>3.</w:t>
            </w:r>
            <w:r>
              <w:rPr>
                <w:b/>
              </w:rPr>
              <w:t>6)</w:t>
            </w:r>
          </w:p>
        </w:tc>
        <w:tc>
          <w:tcPr>
            <w:tcW w:w="1275" w:type="dxa"/>
            <w:tcBorders>
              <w:bottom w:val="single" w:sz="4" w:space="0" w:color="93B7BB"/>
            </w:tcBorders>
            <w:vAlign w:val="bottom"/>
          </w:tcPr>
          <w:p w14:paraId="5651CD97" w14:textId="0A5B90A9" w:rsidR="00814D35" w:rsidRPr="000B5CE0" w:rsidRDefault="00814D35" w:rsidP="00814D35">
            <w:pPr>
              <w:pStyle w:val="Tabletext"/>
              <w:jc w:val="right"/>
            </w:pPr>
            <w:r>
              <w:t>(1</w:t>
            </w:r>
            <w:r w:rsidRPr="000B5CE0">
              <w:t>.</w:t>
            </w:r>
            <w:r>
              <w:t>2)</w:t>
            </w:r>
          </w:p>
        </w:tc>
      </w:tr>
      <w:tr w:rsidR="00814D35" w:rsidRPr="00CE0A31" w14:paraId="63174378" w14:textId="77777777" w:rsidTr="00814D35">
        <w:tc>
          <w:tcPr>
            <w:tcW w:w="6663" w:type="dxa"/>
            <w:tcBorders>
              <w:top w:val="single" w:sz="4" w:space="0" w:color="93B7BB"/>
              <w:bottom w:val="single" w:sz="4" w:space="0" w:color="93B7BB"/>
            </w:tcBorders>
            <w:vAlign w:val="bottom"/>
          </w:tcPr>
          <w:p w14:paraId="5B6306AF" w14:textId="19B18B68" w:rsidR="00814D35" w:rsidRPr="00CE0A31" w:rsidRDefault="00814D35" w:rsidP="00814D35">
            <w:pPr>
              <w:pStyle w:val="Tabletext"/>
            </w:pPr>
            <w:r>
              <w:t>At end of year</w:t>
            </w:r>
          </w:p>
        </w:tc>
        <w:tc>
          <w:tcPr>
            <w:tcW w:w="1134" w:type="dxa"/>
            <w:tcBorders>
              <w:top w:val="single" w:sz="4" w:space="0" w:color="93B7BB"/>
              <w:bottom w:val="single" w:sz="4" w:space="0" w:color="93B7BB"/>
            </w:tcBorders>
            <w:shd w:val="clear" w:color="auto" w:fill="EFF4F5"/>
            <w:vAlign w:val="bottom"/>
          </w:tcPr>
          <w:p w14:paraId="010455B9" w14:textId="6A4A179D" w:rsidR="00814D35" w:rsidRPr="00520CBD" w:rsidRDefault="00B76DDE" w:rsidP="00B76DDE">
            <w:pPr>
              <w:pStyle w:val="Tabletext"/>
              <w:jc w:val="right"/>
              <w:rPr>
                <w:b/>
              </w:rPr>
            </w:pPr>
            <w:r>
              <w:rPr>
                <w:b/>
              </w:rPr>
              <w:t>15</w:t>
            </w:r>
            <w:r w:rsidR="00814D35">
              <w:rPr>
                <w:b/>
              </w:rPr>
              <w:t>.</w:t>
            </w:r>
            <w:r>
              <w:rPr>
                <w:b/>
              </w:rPr>
              <w:t>6</w:t>
            </w:r>
          </w:p>
        </w:tc>
        <w:tc>
          <w:tcPr>
            <w:tcW w:w="1275" w:type="dxa"/>
            <w:tcBorders>
              <w:top w:val="single" w:sz="4" w:space="0" w:color="93B7BB"/>
              <w:bottom w:val="single" w:sz="4" w:space="0" w:color="93B7BB"/>
            </w:tcBorders>
            <w:vAlign w:val="bottom"/>
          </w:tcPr>
          <w:p w14:paraId="1E594E22" w14:textId="2EE7D73C" w:rsidR="00814D35" w:rsidRPr="000B5CE0" w:rsidRDefault="00814D35" w:rsidP="00814D35">
            <w:pPr>
              <w:pStyle w:val="Tabletext"/>
              <w:jc w:val="right"/>
            </w:pPr>
            <w:r>
              <w:t>6.2</w:t>
            </w:r>
          </w:p>
        </w:tc>
      </w:tr>
    </w:tbl>
    <w:p w14:paraId="25EA1565" w14:textId="77777777" w:rsidR="00814D35" w:rsidRDefault="00814D35" w:rsidP="00814D35">
      <w:pPr>
        <w:pStyle w:val="Footnote"/>
      </w:pPr>
    </w:p>
    <w:p w14:paraId="714F209A" w14:textId="77777777" w:rsidR="006F129D" w:rsidRDefault="00A120B2" w:rsidP="006F78F0">
      <w:pPr>
        <w:jc w:val="both"/>
      </w:pPr>
      <w:r w:rsidRPr="00A55949">
        <w:t>Provisions</w:t>
      </w:r>
      <w:r>
        <w:t xml:space="preserve"> </w:t>
      </w:r>
      <w:r w:rsidRPr="00A55949">
        <w:t>relate</w:t>
      </w:r>
      <w:r>
        <w:t xml:space="preserve"> </w:t>
      </w:r>
      <w:r w:rsidRPr="00A55949">
        <w:t>to</w:t>
      </w:r>
      <w:r>
        <w:t xml:space="preserve"> </w:t>
      </w:r>
      <w:r w:rsidRPr="00A55949">
        <w:t>onerous</w:t>
      </w:r>
      <w:r>
        <w:t xml:space="preserve"> </w:t>
      </w:r>
      <w:r w:rsidRPr="00A55949">
        <w:t>tenancy</w:t>
      </w:r>
      <w:r>
        <w:t xml:space="preserve"> </w:t>
      </w:r>
      <w:r w:rsidRPr="00A55949">
        <w:t>contracts,</w:t>
      </w:r>
      <w:r>
        <w:t xml:space="preserve"> </w:t>
      </w:r>
      <w:r w:rsidRPr="00A55949">
        <w:t>end</w:t>
      </w:r>
      <w:r>
        <w:t xml:space="preserve"> </w:t>
      </w:r>
      <w:r w:rsidRPr="00A55949">
        <w:t>of</w:t>
      </w:r>
      <w:r>
        <w:t xml:space="preserve"> </w:t>
      </w:r>
      <w:r w:rsidRPr="00A55949">
        <w:t>life</w:t>
      </w:r>
      <w:r>
        <w:t xml:space="preserve"> </w:t>
      </w:r>
      <w:r w:rsidRPr="00A55949">
        <w:t>dilapidations</w:t>
      </w:r>
      <w:r>
        <w:t xml:space="preserve"> </w:t>
      </w:r>
      <w:r w:rsidRPr="00A55949">
        <w:t>under</w:t>
      </w:r>
      <w:r>
        <w:t xml:space="preserve"> </w:t>
      </w:r>
      <w:r w:rsidRPr="00A55949">
        <w:t>leases,</w:t>
      </w:r>
      <w:r>
        <w:t xml:space="preserve"> </w:t>
      </w:r>
      <w:r w:rsidRPr="00A55949">
        <w:t>commitments</w:t>
      </w:r>
      <w:r>
        <w:t xml:space="preserve"> </w:t>
      </w:r>
      <w:r w:rsidRPr="00A55949">
        <w:t>to</w:t>
      </w:r>
      <w:r>
        <w:t xml:space="preserve"> </w:t>
      </w:r>
      <w:r w:rsidRPr="00A55949">
        <w:t>patients</w:t>
      </w:r>
      <w:r>
        <w:t xml:space="preserve"> </w:t>
      </w:r>
      <w:r w:rsidRPr="00A55949">
        <w:t>in</w:t>
      </w:r>
      <w:r>
        <w:t xml:space="preserve"> </w:t>
      </w:r>
      <w:r w:rsidRPr="00A55949">
        <w:t>respect</w:t>
      </w:r>
      <w:r>
        <w:t xml:space="preserve"> </w:t>
      </w:r>
      <w:r w:rsidRPr="00A55949">
        <w:t>of</w:t>
      </w:r>
      <w:r>
        <w:t xml:space="preserve"> </w:t>
      </w:r>
      <w:r w:rsidRPr="00A55949">
        <w:t>the</w:t>
      </w:r>
      <w:r>
        <w:t xml:space="preserve"> </w:t>
      </w:r>
      <w:r w:rsidRPr="00A55949">
        <w:t>removal</w:t>
      </w:r>
      <w:r>
        <w:t xml:space="preserve"> </w:t>
      </w:r>
      <w:r w:rsidRPr="00A55949">
        <w:t>or</w:t>
      </w:r>
      <w:r>
        <w:t xml:space="preserve"> </w:t>
      </w:r>
      <w:r w:rsidRPr="00A55949">
        <w:t>replacement</w:t>
      </w:r>
      <w:r>
        <w:t xml:space="preserve"> </w:t>
      </w:r>
      <w:r w:rsidRPr="00A55949">
        <w:t>of</w:t>
      </w:r>
      <w:r>
        <w:t xml:space="preserve"> </w:t>
      </w:r>
      <w:r w:rsidRPr="00A55949">
        <w:t>the</w:t>
      </w:r>
      <w:r>
        <w:t xml:space="preserve"> </w:t>
      </w:r>
      <w:r w:rsidRPr="00A55949">
        <w:t>PIP</w:t>
      </w:r>
      <w:r>
        <w:t xml:space="preserve"> </w:t>
      </w:r>
      <w:r w:rsidRPr="00A55949">
        <w:t>brand</w:t>
      </w:r>
      <w:r>
        <w:t xml:space="preserve"> </w:t>
      </w:r>
      <w:r w:rsidRPr="00A55949">
        <w:t>of</w:t>
      </w:r>
      <w:r>
        <w:t xml:space="preserve"> </w:t>
      </w:r>
      <w:r w:rsidRPr="00A55949">
        <w:t>breast</w:t>
      </w:r>
      <w:r>
        <w:t xml:space="preserve"> </w:t>
      </w:r>
      <w:r w:rsidRPr="00A55949">
        <w:t>implants,</w:t>
      </w:r>
      <w:r>
        <w:t xml:space="preserve"> </w:t>
      </w:r>
      <w:r w:rsidRPr="00A55949">
        <w:t>and</w:t>
      </w:r>
      <w:r>
        <w:t xml:space="preserve"> </w:t>
      </w:r>
      <w:r w:rsidRPr="00A55949">
        <w:t>estimated</w:t>
      </w:r>
      <w:r>
        <w:t xml:space="preserve"> </w:t>
      </w:r>
      <w:r w:rsidRPr="00A55949">
        <w:t>liabilities</w:t>
      </w:r>
      <w:r>
        <w:t xml:space="preserve"> </w:t>
      </w:r>
      <w:r w:rsidRPr="00A55949">
        <w:t>arising</w:t>
      </w:r>
      <w:r>
        <w:t xml:space="preserve"> </w:t>
      </w:r>
      <w:r w:rsidRPr="00A55949">
        <w:t>from</w:t>
      </w:r>
      <w:r>
        <w:t xml:space="preserve"> </w:t>
      </w:r>
      <w:r w:rsidRPr="00A55949">
        <w:t>claims</w:t>
      </w:r>
      <w:r>
        <w:t xml:space="preserve"> </w:t>
      </w:r>
      <w:r w:rsidRPr="00A55949">
        <w:t>for</w:t>
      </w:r>
      <w:r>
        <w:t xml:space="preserve"> </w:t>
      </w:r>
      <w:r w:rsidRPr="00A55949">
        <w:t>damages</w:t>
      </w:r>
      <w:r>
        <w:t xml:space="preserve"> </w:t>
      </w:r>
      <w:r w:rsidRPr="00A55949">
        <w:t>in</w:t>
      </w:r>
      <w:r>
        <w:t xml:space="preserve"> </w:t>
      </w:r>
      <w:r w:rsidRPr="00A55949">
        <w:t>respect</w:t>
      </w:r>
      <w:r>
        <w:t xml:space="preserve"> </w:t>
      </w:r>
      <w:r w:rsidRPr="00A55949">
        <w:t>of</w:t>
      </w:r>
      <w:r>
        <w:t xml:space="preserve"> </w:t>
      </w:r>
      <w:r w:rsidRPr="00A55949">
        <w:t>services</w:t>
      </w:r>
      <w:r>
        <w:t xml:space="preserve"> </w:t>
      </w:r>
      <w:r w:rsidRPr="00A55949">
        <w:t>previously</w:t>
      </w:r>
      <w:r>
        <w:t xml:space="preserve"> </w:t>
      </w:r>
      <w:r w:rsidRPr="00A55949">
        <w:t>supplied</w:t>
      </w:r>
      <w:r>
        <w:t xml:space="preserve"> </w:t>
      </w:r>
      <w:r w:rsidRPr="00A55949">
        <w:t>to</w:t>
      </w:r>
      <w:r>
        <w:t xml:space="preserve"> </w:t>
      </w:r>
      <w:r w:rsidRPr="00A55949">
        <w:t>patients.</w:t>
      </w:r>
    </w:p>
    <w:p w14:paraId="204377D8" w14:textId="4D6D725E" w:rsidR="00814D35" w:rsidRDefault="006F129D" w:rsidP="006F78F0">
      <w:pPr>
        <w:jc w:val="both"/>
      </w:pPr>
      <w:r w:rsidRPr="006F129D">
        <w:t xml:space="preserve">The provisions are shown gross of any expected reimbursement from insurers of the related risks. The reimbursement is recognised as a separate receivable when receipt of it is judged sufficiently probable. The amount in receivables in that respect was £6.2 </w:t>
      </w:r>
      <w:r>
        <w:t>million</w:t>
      </w:r>
      <w:r w:rsidRPr="006F129D">
        <w:t xml:space="preserve"> (2014: £nil). In prior years, the provision represented the net amount expected to be paid under excess arrangements with the insurers, but no adjustment has made to the presentation of the prior year numbers as any change is considered immaterial</w:t>
      </w:r>
      <w:r w:rsidR="00A120B2">
        <w:t>.</w:t>
      </w:r>
    </w:p>
    <w:p w14:paraId="104086CC" w14:textId="2D268EC6" w:rsidR="00A120B2" w:rsidRDefault="00A120B2" w:rsidP="006F78F0">
      <w:pPr>
        <w:jc w:val="both"/>
      </w:pPr>
      <w:r w:rsidRPr="00A55949">
        <w:t>Provisions</w:t>
      </w:r>
      <w:r>
        <w:t xml:space="preserve"> </w:t>
      </w:r>
      <w:r w:rsidRPr="00A55949">
        <w:t>as</w:t>
      </w:r>
      <w:r>
        <w:t xml:space="preserve"> </w:t>
      </w:r>
      <w:r w:rsidRPr="00A55949">
        <w:t>at</w:t>
      </w:r>
      <w:r>
        <w:t xml:space="preserve"> </w:t>
      </w:r>
      <w:r w:rsidRPr="00A55949">
        <w:t>31</w:t>
      </w:r>
      <w:r>
        <w:t xml:space="preserve"> </w:t>
      </w:r>
      <w:r w:rsidRPr="00A55949">
        <w:t>December</w:t>
      </w:r>
      <w:r>
        <w:t xml:space="preserve"> </w:t>
      </w:r>
      <w:r w:rsidRPr="00A55949">
        <w:t>201</w:t>
      </w:r>
      <w:r>
        <w:t xml:space="preserve">5 </w:t>
      </w:r>
      <w:r w:rsidRPr="00A55949">
        <w:t>are</w:t>
      </w:r>
      <w:r>
        <w:t xml:space="preserve"> </w:t>
      </w:r>
      <w:r w:rsidRPr="00A55949">
        <w:t>expected</w:t>
      </w:r>
      <w:r>
        <w:t xml:space="preserve"> </w:t>
      </w:r>
      <w:r w:rsidRPr="00A55949">
        <w:t>to</w:t>
      </w:r>
      <w:r>
        <w:t xml:space="preserve"> </w:t>
      </w:r>
      <w:r w:rsidRPr="00A55949">
        <w:t>be</w:t>
      </w:r>
      <w:r>
        <w:t xml:space="preserve"> </w:t>
      </w:r>
      <w:r w:rsidRPr="00A55949">
        <w:t>utilised</w:t>
      </w:r>
      <w:r>
        <w:t xml:space="preserve"> </w:t>
      </w:r>
      <w:r w:rsidRPr="00A55949">
        <w:t>within</w:t>
      </w:r>
      <w:r>
        <w:t xml:space="preserve"> </w:t>
      </w:r>
      <w:r w:rsidR="0026616C">
        <w:t>three</w:t>
      </w:r>
      <w:r>
        <w:t xml:space="preserve"> </w:t>
      </w:r>
      <w:r w:rsidRPr="00A55949">
        <w:t>years</w:t>
      </w:r>
      <w:r>
        <w:t>.</w:t>
      </w:r>
    </w:p>
    <w:p w14:paraId="7EC63A1E" w14:textId="526815FF" w:rsidR="00A120B2" w:rsidRDefault="00764B43" w:rsidP="006F78F0">
      <w:pPr>
        <w:jc w:val="both"/>
      </w:pPr>
      <w:r w:rsidRPr="001A7FC3">
        <w:rPr>
          <w:szCs w:val="20"/>
        </w:rPr>
        <w:t>The Group has received claims and notifications from patients of a consultant, who previously had practising privileges at Spire</w:t>
      </w:r>
      <w:r>
        <w:rPr>
          <w:szCs w:val="20"/>
        </w:rPr>
        <w:t xml:space="preserve"> Healthcare</w:t>
      </w:r>
      <w:r w:rsidRPr="001A7FC3">
        <w:rPr>
          <w:szCs w:val="20"/>
        </w:rPr>
        <w:t>. The patients are claiming against the consultant and other involved parties including the Group. Court hearings are scheduled for a limited number of claims in June 2017 through which precedent will be established regarding how future claims will be treated. The Group is defending such claims and the legal process is expected to take place over a period of several years. There is significant uncertainty regarding the number of claims</w:t>
      </w:r>
      <w:r>
        <w:rPr>
          <w:szCs w:val="20"/>
        </w:rPr>
        <w:t xml:space="preserve">, the </w:t>
      </w:r>
      <w:r w:rsidRPr="001A7FC3">
        <w:rPr>
          <w:szCs w:val="20"/>
        </w:rPr>
        <w:t xml:space="preserve">outcome of the claims, any amounts to be awarded to each claimant and the apportionment of damages between the parties. It is, therefore, not possible to reliably estimate any liability of the Group. The Group maintains comprehensive medical malpractice insurance, and in the event that the Group is found liable, the </w:t>
      </w:r>
      <w:r>
        <w:rPr>
          <w:szCs w:val="20"/>
        </w:rPr>
        <w:t>D</w:t>
      </w:r>
      <w:r w:rsidRPr="001A7FC3">
        <w:rPr>
          <w:szCs w:val="20"/>
        </w:rPr>
        <w:t>irectors consider that insurers will meet any such liabilities, subject to certain terms and excess limitations</w:t>
      </w:r>
      <w:r w:rsidR="00A120B2">
        <w:rPr>
          <w:szCs w:val="20"/>
        </w:rPr>
        <w:t>.</w:t>
      </w:r>
    </w:p>
    <w:p w14:paraId="292BD284" w14:textId="14BAB4C4" w:rsidR="00004F63" w:rsidRPr="00066035" w:rsidRDefault="00364452" w:rsidP="00364452">
      <w:pPr>
        <w:pStyle w:val="Heading3"/>
      </w:pPr>
      <w:r>
        <w:t>1</w:t>
      </w:r>
      <w:r w:rsidR="00A120B2">
        <w:t>8</w:t>
      </w:r>
      <w:r>
        <w:t xml:space="preserve">. </w:t>
      </w:r>
      <w:r w:rsidR="00004F63" w:rsidRPr="00066035">
        <w:t>Trade and other payables</w:t>
      </w:r>
    </w:p>
    <w:tbl>
      <w:tblPr>
        <w:tblW w:w="9072" w:type="dxa"/>
        <w:tblLayout w:type="fixed"/>
        <w:tblCellMar>
          <w:left w:w="0" w:type="dxa"/>
          <w:right w:w="57" w:type="dxa"/>
        </w:tblCellMar>
        <w:tblLook w:val="0000" w:firstRow="0" w:lastRow="0" w:firstColumn="0" w:lastColumn="0" w:noHBand="0" w:noVBand="0"/>
      </w:tblPr>
      <w:tblGrid>
        <w:gridCol w:w="6663"/>
        <w:gridCol w:w="1134"/>
        <w:gridCol w:w="1275"/>
      </w:tblGrid>
      <w:tr w:rsidR="000B5CE0" w:rsidRPr="00CE0A31" w14:paraId="0D8F123E" w14:textId="77777777" w:rsidTr="000B5CE0">
        <w:tc>
          <w:tcPr>
            <w:tcW w:w="6663" w:type="dxa"/>
            <w:tcBorders>
              <w:bottom w:val="single" w:sz="4" w:space="0" w:color="93B7BB"/>
            </w:tcBorders>
            <w:vAlign w:val="bottom"/>
          </w:tcPr>
          <w:p w14:paraId="6B5298A0" w14:textId="77777777" w:rsidR="000B5CE0" w:rsidRPr="00520CBD" w:rsidRDefault="000B5CE0" w:rsidP="004A4EB9">
            <w:pPr>
              <w:pStyle w:val="Tableheading"/>
            </w:pPr>
            <w:r w:rsidRPr="00520CBD">
              <w:t>(£ million)</w:t>
            </w:r>
          </w:p>
        </w:tc>
        <w:tc>
          <w:tcPr>
            <w:tcW w:w="1134" w:type="dxa"/>
            <w:tcBorders>
              <w:bottom w:val="single" w:sz="4" w:space="0" w:color="93B7BB"/>
            </w:tcBorders>
            <w:shd w:val="clear" w:color="auto" w:fill="EFF4F5"/>
            <w:vAlign w:val="bottom"/>
          </w:tcPr>
          <w:p w14:paraId="5AB6328D" w14:textId="49F0CB14" w:rsidR="000B5CE0" w:rsidRPr="00520CBD" w:rsidRDefault="000B5CE0" w:rsidP="000B5CE0">
            <w:pPr>
              <w:pStyle w:val="Tableheading"/>
              <w:jc w:val="right"/>
              <w:rPr>
                <w:b/>
              </w:rPr>
            </w:pPr>
            <w:r w:rsidRPr="00520CBD">
              <w:rPr>
                <w:b/>
              </w:rPr>
              <w:t>201</w:t>
            </w:r>
            <w:r>
              <w:rPr>
                <w:b/>
              </w:rPr>
              <w:t>5</w:t>
            </w:r>
          </w:p>
        </w:tc>
        <w:tc>
          <w:tcPr>
            <w:tcW w:w="1275" w:type="dxa"/>
            <w:tcBorders>
              <w:bottom w:val="single" w:sz="4" w:space="0" w:color="93B7BB"/>
            </w:tcBorders>
            <w:vAlign w:val="bottom"/>
          </w:tcPr>
          <w:p w14:paraId="1ABE31F4" w14:textId="14390700" w:rsidR="000B5CE0" w:rsidRPr="00520CBD" w:rsidRDefault="000B5CE0" w:rsidP="000B5CE0">
            <w:pPr>
              <w:pStyle w:val="Tableheading"/>
              <w:jc w:val="right"/>
            </w:pPr>
            <w:r w:rsidRPr="00520CBD">
              <w:t>201</w:t>
            </w:r>
            <w:r>
              <w:t>4</w:t>
            </w:r>
          </w:p>
        </w:tc>
      </w:tr>
      <w:tr w:rsidR="000B5CE0" w:rsidRPr="00CE0A31" w14:paraId="2830F8CD" w14:textId="77777777" w:rsidTr="000B5CE0">
        <w:tc>
          <w:tcPr>
            <w:tcW w:w="6663" w:type="dxa"/>
            <w:tcBorders>
              <w:top w:val="single" w:sz="4" w:space="0" w:color="93B7BB"/>
            </w:tcBorders>
            <w:vAlign w:val="bottom"/>
          </w:tcPr>
          <w:p w14:paraId="44BB9BA1" w14:textId="1C0F7867" w:rsidR="000B5CE0" w:rsidRPr="00CE0A31" w:rsidRDefault="000B5CE0" w:rsidP="004A4EB9">
            <w:pPr>
              <w:pStyle w:val="Tabletext"/>
            </w:pPr>
            <w:r w:rsidRPr="00DD1EC0">
              <w:t xml:space="preserve">Trade payables </w:t>
            </w:r>
          </w:p>
        </w:tc>
        <w:tc>
          <w:tcPr>
            <w:tcW w:w="1134" w:type="dxa"/>
            <w:tcBorders>
              <w:top w:val="single" w:sz="4" w:space="0" w:color="93B7BB"/>
            </w:tcBorders>
            <w:shd w:val="clear" w:color="auto" w:fill="EFF4F5"/>
            <w:vAlign w:val="bottom"/>
          </w:tcPr>
          <w:p w14:paraId="6C4E57C9" w14:textId="5FDAB509" w:rsidR="000B5CE0" w:rsidRPr="00520CBD" w:rsidRDefault="00892439" w:rsidP="004A4EB9">
            <w:pPr>
              <w:pStyle w:val="Tabletext"/>
              <w:jc w:val="right"/>
              <w:rPr>
                <w:b/>
              </w:rPr>
            </w:pPr>
            <w:r>
              <w:rPr>
                <w:b/>
              </w:rPr>
              <w:t>46.8</w:t>
            </w:r>
          </w:p>
        </w:tc>
        <w:tc>
          <w:tcPr>
            <w:tcW w:w="1275" w:type="dxa"/>
            <w:tcBorders>
              <w:top w:val="single" w:sz="4" w:space="0" w:color="93B7BB"/>
            </w:tcBorders>
            <w:vAlign w:val="bottom"/>
          </w:tcPr>
          <w:p w14:paraId="148AB43B" w14:textId="34ADE613" w:rsidR="000B5CE0" w:rsidRPr="000B5CE0" w:rsidRDefault="000B5CE0" w:rsidP="004A4EB9">
            <w:pPr>
              <w:pStyle w:val="Tabletext"/>
              <w:jc w:val="right"/>
            </w:pPr>
            <w:r w:rsidRPr="000B5CE0">
              <w:t>50.8</w:t>
            </w:r>
          </w:p>
        </w:tc>
      </w:tr>
      <w:tr w:rsidR="000B5CE0" w:rsidRPr="00CE0A31" w14:paraId="34F90680" w14:textId="77777777" w:rsidTr="000B5CE0">
        <w:tc>
          <w:tcPr>
            <w:tcW w:w="6663" w:type="dxa"/>
            <w:vAlign w:val="bottom"/>
          </w:tcPr>
          <w:p w14:paraId="79C5A13E" w14:textId="213006D3" w:rsidR="000B5CE0" w:rsidRPr="00CE0A31" w:rsidRDefault="000B5CE0" w:rsidP="004A4EB9">
            <w:pPr>
              <w:pStyle w:val="Tabletext"/>
            </w:pPr>
            <w:r w:rsidRPr="00DD1EC0">
              <w:t xml:space="preserve">Other payables </w:t>
            </w:r>
          </w:p>
        </w:tc>
        <w:tc>
          <w:tcPr>
            <w:tcW w:w="1134" w:type="dxa"/>
            <w:shd w:val="clear" w:color="auto" w:fill="EFF4F5"/>
            <w:vAlign w:val="bottom"/>
          </w:tcPr>
          <w:p w14:paraId="2DC7C062" w14:textId="645FFC6C" w:rsidR="000B5CE0" w:rsidRPr="00520CBD" w:rsidRDefault="00892439" w:rsidP="004A4EB9">
            <w:pPr>
              <w:pStyle w:val="Tabletext"/>
              <w:jc w:val="right"/>
              <w:rPr>
                <w:b/>
              </w:rPr>
            </w:pPr>
            <w:r>
              <w:rPr>
                <w:b/>
              </w:rPr>
              <w:t>7.1</w:t>
            </w:r>
          </w:p>
        </w:tc>
        <w:tc>
          <w:tcPr>
            <w:tcW w:w="1275" w:type="dxa"/>
            <w:vAlign w:val="bottom"/>
          </w:tcPr>
          <w:p w14:paraId="632C48FD" w14:textId="1ACC2B4A" w:rsidR="000B5CE0" w:rsidRPr="000B5CE0" w:rsidRDefault="000B5CE0" w:rsidP="004A4EB9">
            <w:pPr>
              <w:pStyle w:val="Tabletext"/>
              <w:jc w:val="right"/>
            </w:pPr>
            <w:r w:rsidRPr="000B5CE0">
              <w:t>4.8</w:t>
            </w:r>
          </w:p>
        </w:tc>
      </w:tr>
      <w:tr w:rsidR="000B5CE0" w:rsidRPr="00CE0A31" w14:paraId="1CB35D2F" w14:textId="77777777" w:rsidTr="000B5CE0">
        <w:tc>
          <w:tcPr>
            <w:tcW w:w="6663" w:type="dxa"/>
            <w:vAlign w:val="bottom"/>
          </w:tcPr>
          <w:p w14:paraId="507B2840" w14:textId="3187EC2A" w:rsidR="000B5CE0" w:rsidRPr="00CE0A31" w:rsidRDefault="000B5CE0" w:rsidP="004A4EB9">
            <w:pPr>
              <w:pStyle w:val="Tabletext"/>
            </w:pPr>
            <w:r w:rsidRPr="00DD1EC0">
              <w:t xml:space="preserve">Other taxation and social security </w:t>
            </w:r>
          </w:p>
        </w:tc>
        <w:tc>
          <w:tcPr>
            <w:tcW w:w="1134" w:type="dxa"/>
            <w:shd w:val="clear" w:color="auto" w:fill="EFF4F5"/>
            <w:vAlign w:val="bottom"/>
          </w:tcPr>
          <w:p w14:paraId="1FC41198" w14:textId="5163B97D" w:rsidR="000B5CE0" w:rsidRPr="00520CBD" w:rsidRDefault="00892439" w:rsidP="004A4EB9">
            <w:pPr>
              <w:pStyle w:val="Tabletext"/>
              <w:jc w:val="right"/>
              <w:rPr>
                <w:b/>
              </w:rPr>
            </w:pPr>
            <w:r>
              <w:rPr>
                <w:b/>
              </w:rPr>
              <w:t>4.2</w:t>
            </w:r>
          </w:p>
        </w:tc>
        <w:tc>
          <w:tcPr>
            <w:tcW w:w="1275" w:type="dxa"/>
            <w:vAlign w:val="bottom"/>
          </w:tcPr>
          <w:p w14:paraId="3FE3AEBD" w14:textId="28D6B187" w:rsidR="000B5CE0" w:rsidRPr="000B5CE0" w:rsidRDefault="000B5CE0" w:rsidP="004A4EB9">
            <w:pPr>
              <w:pStyle w:val="Tabletext"/>
              <w:jc w:val="right"/>
            </w:pPr>
            <w:r w:rsidRPr="000B5CE0">
              <w:t>6.1</w:t>
            </w:r>
          </w:p>
        </w:tc>
      </w:tr>
      <w:tr w:rsidR="000B5CE0" w:rsidRPr="00CE0A31" w14:paraId="74CD7DFF" w14:textId="77777777" w:rsidTr="000B5CE0">
        <w:tc>
          <w:tcPr>
            <w:tcW w:w="6663" w:type="dxa"/>
            <w:tcBorders>
              <w:bottom w:val="single" w:sz="4" w:space="0" w:color="93B7BB"/>
            </w:tcBorders>
            <w:vAlign w:val="bottom"/>
          </w:tcPr>
          <w:p w14:paraId="280A835B" w14:textId="17CDE0E6" w:rsidR="000B5CE0" w:rsidRPr="00CE0A31" w:rsidRDefault="000B5CE0" w:rsidP="004A4EB9">
            <w:pPr>
              <w:pStyle w:val="Tabletext"/>
            </w:pPr>
            <w:r w:rsidRPr="00DD1EC0">
              <w:t xml:space="preserve">Accruals </w:t>
            </w:r>
          </w:p>
        </w:tc>
        <w:tc>
          <w:tcPr>
            <w:tcW w:w="1134" w:type="dxa"/>
            <w:tcBorders>
              <w:bottom w:val="single" w:sz="4" w:space="0" w:color="93B7BB"/>
            </w:tcBorders>
            <w:shd w:val="clear" w:color="auto" w:fill="EFF4F5"/>
            <w:vAlign w:val="bottom"/>
          </w:tcPr>
          <w:p w14:paraId="365E0523" w14:textId="53439BDB" w:rsidR="000B5CE0" w:rsidRPr="00520CBD" w:rsidRDefault="00892439" w:rsidP="00A120B2">
            <w:pPr>
              <w:pStyle w:val="Tabletext"/>
              <w:jc w:val="right"/>
              <w:rPr>
                <w:b/>
              </w:rPr>
            </w:pPr>
            <w:r>
              <w:rPr>
                <w:b/>
              </w:rPr>
              <w:t>3</w:t>
            </w:r>
            <w:r w:rsidR="00A120B2">
              <w:rPr>
                <w:b/>
              </w:rPr>
              <w:t>2</w:t>
            </w:r>
            <w:r>
              <w:rPr>
                <w:b/>
              </w:rPr>
              <w:t>.</w:t>
            </w:r>
            <w:r w:rsidR="00A120B2">
              <w:rPr>
                <w:b/>
              </w:rPr>
              <w:t>2</w:t>
            </w:r>
          </w:p>
        </w:tc>
        <w:tc>
          <w:tcPr>
            <w:tcW w:w="1275" w:type="dxa"/>
            <w:tcBorders>
              <w:bottom w:val="single" w:sz="4" w:space="0" w:color="93B7BB"/>
            </w:tcBorders>
            <w:vAlign w:val="bottom"/>
          </w:tcPr>
          <w:p w14:paraId="4FF7E9B4" w14:textId="7F9F8A50" w:rsidR="000B5CE0" w:rsidRPr="000B5CE0" w:rsidRDefault="000B5CE0" w:rsidP="004A4EB9">
            <w:pPr>
              <w:pStyle w:val="Tabletext"/>
              <w:jc w:val="right"/>
            </w:pPr>
            <w:r w:rsidRPr="000B5CE0">
              <w:t>35.9</w:t>
            </w:r>
          </w:p>
        </w:tc>
      </w:tr>
      <w:tr w:rsidR="000B5CE0" w:rsidRPr="00CE0A31" w14:paraId="40FA652B" w14:textId="77777777" w:rsidTr="000B5CE0">
        <w:tc>
          <w:tcPr>
            <w:tcW w:w="6663" w:type="dxa"/>
            <w:tcBorders>
              <w:top w:val="single" w:sz="4" w:space="0" w:color="93B7BB"/>
              <w:bottom w:val="single" w:sz="4" w:space="0" w:color="93B7BB"/>
            </w:tcBorders>
            <w:vAlign w:val="bottom"/>
          </w:tcPr>
          <w:p w14:paraId="0A679727" w14:textId="77777777" w:rsidR="000B5CE0" w:rsidRPr="00CE0A31" w:rsidRDefault="000B5CE0" w:rsidP="004A4EB9">
            <w:pPr>
              <w:pStyle w:val="Tabletext"/>
            </w:pPr>
            <w:r w:rsidRPr="00CE0A31">
              <w:t xml:space="preserve">Total </w:t>
            </w:r>
          </w:p>
        </w:tc>
        <w:tc>
          <w:tcPr>
            <w:tcW w:w="1134" w:type="dxa"/>
            <w:tcBorders>
              <w:top w:val="single" w:sz="4" w:space="0" w:color="93B7BB"/>
              <w:bottom w:val="single" w:sz="4" w:space="0" w:color="93B7BB"/>
            </w:tcBorders>
            <w:shd w:val="clear" w:color="auto" w:fill="EFF4F5"/>
            <w:vAlign w:val="bottom"/>
          </w:tcPr>
          <w:p w14:paraId="431E5BDB" w14:textId="4F6E01D7" w:rsidR="000B5CE0" w:rsidRPr="00520CBD" w:rsidRDefault="00892439" w:rsidP="00A120B2">
            <w:pPr>
              <w:pStyle w:val="Tabletext"/>
              <w:jc w:val="right"/>
              <w:rPr>
                <w:b/>
              </w:rPr>
            </w:pPr>
            <w:r>
              <w:rPr>
                <w:b/>
              </w:rPr>
              <w:t>9</w:t>
            </w:r>
            <w:r w:rsidR="00A120B2">
              <w:rPr>
                <w:b/>
              </w:rPr>
              <w:t>0</w:t>
            </w:r>
            <w:r>
              <w:rPr>
                <w:b/>
              </w:rPr>
              <w:t>.</w:t>
            </w:r>
            <w:r w:rsidR="00A120B2">
              <w:rPr>
                <w:b/>
              </w:rPr>
              <w:t>3</w:t>
            </w:r>
          </w:p>
        </w:tc>
        <w:tc>
          <w:tcPr>
            <w:tcW w:w="1275" w:type="dxa"/>
            <w:tcBorders>
              <w:top w:val="single" w:sz="4" w:space="0" w:color="93B7BB"/>
              <w:bottom w:val="single" w:sz="4" w:space="0" w:color="93B7BB"/>
            </w:tcBorders>
            <w:vAlign w:val="bottom"/>
          </w:tcPr>
          <w:p w14:paraId="7EB6AC3C" w14:textId="1B4C8275" w:rsidR="000B5CE0" w:rsidRPr="000B5CE0" w:rsidRDefault="000B5CE0" w:rsidP="000B5CE0">
            <w:pPr>
              <w:pStyle w:val="Tabletext"/>
              <w:jc w:val="right"/>
            </w:pPr>
            <w:r>
              <w:t>97</w:t>
            </w:r>
            <w:r w:rsidRPr="000B5CE0">
              <w:t>.</w:t>
            </w:r>
            <w:r>
              <w:t>6</w:t>
            </w:r>
          </w:p>
        </w:tc>
      </w:tr>
    </w:tbl>
    <w:p w14:paraId="4C4B8B7B" w14:textId="77777777" w:rsidR="000B5CE0" w:rsidRDefault="000B5CE0" w:rsidP="00D94AEE">
      <w:pPr>
        <w:pStyle w:val="Footnote"/>
      </w:pPr>
    </w:p>
    <w:p w14:paraId="7FF84089" w14:textId="77777777" w:rsidR="00FE54FB" w:rsidRDefault="00FE54FB">
      <w:pPr>
        <w:spacing w:after="160" w:line="259" w:lineRule="auto"/>
        <w:rPr>
          <w:rFonts w:asciiTheme="majorHAnsi" w:eastAsiaTheme="majorEastAsia" w:hAnsiTheme="majorHAnsi" w:cstheme="majorBidi"/>
          <w:b/>
          <w:caps/>
          <w:color w:val="93B6BB"/>
          <w:szCs w:val="24"/>
        </w:rPr>
      </w:pPr>
      <w:r>
        <w:br w:type="page"/>
      </w:r>
    </w:p>
    <w:p w14:paraId="17FC7AA2" w14:textId="295AF270" w:rsidR="00004F63" w:rsidRPr="00066035" w:rsidRDefault="00364452" w:rsidP="00364452">
      <w:pPr>
        <w:pStyle w:val="Heading3"/>
      </w:pPr>
      <w:r>
        <w:lastRenderedPageBreak/>
        <w:t>1</w:t>
      </w:r>
      <w:r w:rsidR="00356462">
        <w:t>9</w:t>
      </w:r>
      <w:r>
        <w:t xml:space="preserve">. </w:t>
      </w:r>
      <w:r w:rsidR="00B80227">
        <w:t>S</w:t>
      </w:r>
      <w:r w:rsidR="00004F63" w:rsidRPr="00066035">
        <w:t>hare capital</w:t>
      </w:r>
      <w:r w:rsidR="00500A32">
        <w:t xml:space="preserve"> and reserves</w:t>
      </w:r>
    </w:p>
    <w:tbl>
      <w:tblPr>
        <w:tblW w:w="9098" w:type="dxa"/>
        <w:tblInd w:w="-26" w:type="dxa"/>
        <w:tblLayout w:type="fixed"/>
        <w:tblCellMar>
          <w:left w:w="0" w:type="dxa"/>
          <w:right w:w="57" w:type="dxa"/>
        </w:tblCellMar>
        <w:tblLook w:val="0000" w:firstRow="0" w:lastRow="0" w:firstColumn="0" w:lastColumn="0" w:noHBand="0" w:noVBand="0"/>
      </w:tblPr>
      <w:tblGrid>
        <w:gridCol w:w="3888"/>
        <w:gridCol w:w="1302"/>
        <w:gridCol w:w="1303"/>
        <w:gridCol w:w="1302"/>
        <w:gridCol w:w="1303"/>
      </w:tblGrid>
      <w:tr w:rsidR="009E3D84" w:rsidRPr="00066035" w14:paraId="150BADA0" w14:textId="77777777" w:rsidTr="00B80227">
        <w:tc>
          <w:tcPr>
            <w:tcW w:w="3888" w:type="dxa"/>
            <w:vAlign w:val="bottom"/>
          </w:tcPr>
          <w:p w14:paraId="324B45C7" w14:textId="77777777" w:rsidR="00004F63" w:rsidRPr="00DD1EC0" w:rsidRDefault="00004F63" w:rsidP="00DD1EC0">
            <w:pPr>
              <w:pStyle w:val="Tableheading"/>
            </w:pPr>
          </w:p>
        </w:tc>
        <w:tc>
          <w:tcPr>
            <w:tcW w:w="2605" w:type="dxa"/>
            <w:gridSpan w:val="2"/>
            <w:tcBorders>
              <w:top w:val="single" w:sz="4" w:space="0" w:color="93B7BB"/>
              <w:bottom w:val="single" w:sz="4" w:space="0" w:color="93B7BB"/>
            </w:tcBorders>
            <w:vAlign w:val="bottom"/>
          </w:tcPr>
          <w:p w14:paraId="0CC0A7DB" w14:textId="77777777" w:rsidR="00004F63" w:rsidRPr="00DD1EC0" w:rsidRDefault="00004F63" w:rsidP="00DD1EC0">
            <w:pPr>
              <w:pStyle w:val="Tableheading"/>
              <w:jc w:val="center"/>
            </w:pPr>
            <w:r w:rsidRPr="00DD1EC0">
              <w:t>£0.01 ordinary shares</w:t>
            </w:r>
          </w:p>
        </w:tc>
        <w:tc>
          <w:tcPr>
            <w:tcW w:w="2605" w:type="dxa"/>
            <w:gridSpan w:val="2"/>
            <w:tcBorders>
              <w:top w:val="single" w:sz="4" w:space="0" w:color="93B7BB"/>
              <w:bottom w:val="single" w:sz="4" w:space="0" w:color="93B7BB"/>
            </w:tcBorders>
            <w:vAlign w:val="bottom"/>
          </w:tcPr>
          <w:p w14:paraId="55F437C0" w14:textId="77777777" w:rsidR="00004F63" w:rsidRPr="00DD1EC0" w:rsidRDefault="00004F63" w:rsidP="00DD1EC0">
            <w:pPr>
              <w:pStyle w:val="Tableheading"/>
              <w:jc w:val="center"/>
            </w:pPr>
            <w:r w:rsidRPr="00DD1EC0">
              <w:t>£1 redeemable preference shares</w:t>
            </w:r>
          </w:p>
        </w:tc>
      </w:tr>
      <w:tr w:rsidR="009E3D84" w:rsidRPr="00066035" w14:paraId="6DE5C86D" w14:textId="77777777" w:rsidTr="00B80227">
        <w:tc>
          <w:tcPr>
            <w:tcW w:w="3888" w:type="dxa"/>
            <w:tcBorders>
              <w:bottom w:val="single" w:sz="4" w:space="0" w:color="93B7BB"/>
            </w:tcBorders>
            <w:vAlign w:val="bottom"/>
          </w:tcPr>
          <w:p w14:paraId="7C1083AD" w14:textId="77777777" w:rsidR="00004F63" w:rsidRPr="00DD1EC0" w:rsidRDefault="00004F63" w:rsidP="00DD1EC0">
            <w:pPr>
              <w:pStyle w:val="Tableheading"/>
            </w:pPr>
            <w:r w:rsidRPr="00DD1EC0">
              <w:t>Share capital of Spire Healthcare Group plc</w:t>
            </w:r>
          </w:p>
        </w:tc>
        <w:tc>
          <w:tcPr>
            <w:tcW w:w="1302" w:type="dxa"/>
            <w:tcBorders>
              <w:top w:val="single" w:sz="4" w:space="0" w:color="93B7BB"/>
              <w:bottom w:val="single" w:sz="4" w:space="0" w:color="93B7BB"/>
            </w:tcBorders>
            <w:vAlign w:val="bottom"/>
          </w:tcPr>
          <w:p w14:paraId="209878AA" w14:textId="77777777" w:rsidR="00004F63" w:rsidRPr="00DD1EC0" w:rsidRDefault="00004F63" w:rsidP="00DD1EC0">
            <w:pPr>
              <w:pStyle w:val="Tableheading"/>
              <w:jc w:val="right"/>
            </w:pPr>
            <w:r w:rsidRPr="00DD1EC0">
              <w:t>Shares</w:t>
            </w:r>
          </w:p>
        </w:tc>
        <w:tc>
          <w:tcPr>
            <w:tcW w:w="1303" w:type="dxa"/>
            <w:tcBorders>
              <w:top w:val="single" w:sz="4" w:space="0" w:color="93B7BB"/>
              <w:bottom w:val="single" w:sz="4" w:space="0" w:color="93B7BB"/>
            </w:tcBorders>
            <w:vAlign w:val="bottom"/>
          </w:tcPr>
          <w:p w14:paraId="1459CC21" w14:textId="77777777" w:rsidR="00004F63" w:rsidRPr="00DD1EC0" w:rsidRDefault="00004F63" w:rsidP="00DD1EC0">
            <w:pPr>
              <w:pStyle w:val="Tableheading"/>
              <w:jc w:val="right"/>
            </w:pPr>
            <w:r w:rsidRPr="00DD1EC0">
              <w:t>£’000</w:t>
            </w:r>
          </w:p>
        </w:tc>
        <w:tc>
          <w:tcPr>
            <w:tcW w:w="1302" w:type="dxa"/>
            <w:tcBorders>
              <w:top w:val="single" w:sz="4" w:space="0" w:color="93B7BB"/>
              <w:bottom w:val="single" w:sz="4" w:space="0" w:color="93B7BB"/>
            </w:tcBorders>
            <w:vAlign w:val="bottom"/>
          </w:tcPr>
          <w:p w14:paraId="53F8D492" w14:textId="77777777" w:rsidR="00004F63" w:rsidRPr="00DD1EC0" w:rsidRDefault="00004F63" w:rsidP="00DD1EC0">
            <w:pPr>
              <w:pStyle w:val="Tableheading"/>
              <w:jc w:val="right"/>
            </w:pPr>
            <w:r w:rsidRPr="00DD1EC0">
              <w:t>Shares</w:t>
            </w:r>
          </w:p>
        </w:tc>
        <w:tc>
          <w:tcPr>
            <w:tcW w:w="1303" w:type="dxa"/>
            <w:tcBorders>
              <w:top w:val="single" w:sz="4" w:space="0" w:color="93B7BB"/>
              <w:bottom w:val="single" w:sz="4" w:space="0" w:color="93B7BB"/>
            </w:tcBorders>
            <w:vAlign w:val="bottom"/>
          </w:tcPr>
          <w:p w14:paraId="0BFFC2ED" w14:textId="77777777" w:rsidR="00004F63" w:rsidRPr="00DD1EC0" w:rsidRDefault="00004F63" w:rsidP="00DD1EC0">
            <w:pPr>
              <w:pStyle w:val="Tableheading"/>
              <w:jc w:val="right"/>
            </w:pPr>
            <w:r w:rsidRPr="00DD1EC0">
              <w:t>£’000</w:t>
            </w:r>
          </w:p>
        </w:tc>
      </w:tr>
      <w:tr w:rsidR="009E3D84" w:rsidRPr="00066035" w14:paraId="73CE69DC" w14:textId="77777777" w:rsidTr="00B80227">
        <w:tc>
          <w:tcPr>
            <w:tcW w:w="3888" w:type="dxa"/>
            <w:tcBorders>
              <w:top w:val="single" w:sz="4" w:space="0" w:color="93B7BB"/>
            </w:tcBorders>
            <w:vAlign w:val="bottom"/>
          </w:tcPr>
          <w:p w14:paraId="2346DEA2" w14:textId="77777777" w:rsidR="00004F63" w:rsidRPr="006D1B0B" w:rsidRDefault="00004F63" w:rsidP="00DD1EC0">
            <w:pPr>
              <w:pStyle w:val="Tabletext"/>
              <w:rPr>
                <w:b/>
              </w:rPr>
            </w:pPr>
            <w:r w:rsidRPr="006D1B0B">
              <w:rPr>
                <w:b/>
              </w:rPr>
              <w:t>Issued and fully paid</w:t>
            </w:r>
          </w:p>
        </w:tc>
        <w:tc>
          <w:tcPr>
            <w:tcW w:w="1302" w:type="dxa"/>
            <w:tcBorders>
              <w:top w:val="single" w:sz="4" w:space="0" w:color="93B7BB"/>
            </w:tcBorders>
            <w:vAlign w:val="bottom"/>
          </w:tcPr>
          <w:p w14:paraId="70D7A904" w14:textId="77777777" w:rsidR="00004F63" w:rsidRPr="00066035" w:rsidRDefault="00004F63" w:rsidP="00DD1EC0">
            <w:pPr>
              <w:pStyle w:val="Tabletext"/>
              <w:jc w:val="right"/>
            </w:pPr>
          </w:p>
        </w:tc>
        <w:tc>
          <w:tcPr>
            <w:tcW w:w="1303" w:type="dxa"/>
            <w:tcBorders>
              <w:top w:val="single" w:sz="4" w:space="0" w:color="93B7BB"/>
            </w:tcBorders>
            <w:vAlign w:val="bottom"/>
          </w:tcPr>
          <w:p w14:paraId="1C7BF930" w14:textId="77777777" w:rsidR="00004F63" w:rsidRPr="00066035" w:rsidRDefault="00004F63" w:rsidP="00DD1EC0">
            <w:pPr>
              <w:pStyle w:val="Tabletext"/>
              <w:jc w:val="right"/>
            </w:pPr>
          </w:p>
        </w:tc>
        <w:tc>
          <w:tcPr>
            <w:tcW w:w="1302" w:type="dxa"/>
            <w:tcBorders>
              <w:top w:val="single" w:sz="4" w:space="0" w:color="93B7BB"/>
            </w:tcBorders>
            <w:vAlign w:val="bottom"/>
          </w:tcPr>
          <w:p w14:paraId="5B136E4B" w14:textId="77777777" w:rsidR="00004F63" w:rsidRPr="00066035" w:rsidRDefault="00004F63" w:rsidP="00DD1EC0">
            <w:pPr>
              <w:pStyle w:val="Tabletext"/>
              <w:jc w:val="right"/>
            </w:pPr>
          </w:p>
        </w:tc>
        <w:tc>
          <w:tcPr>
            <w:tcW w:w="1303" w:type="dxa"/>
            <w:tcBorders>
              <w:top w:val="single" w:sz="4" w:space="0" w:color="93B7BB"/>
            </w:tcBorders>
            <w:vAlign w:val="bottom"/>
          </w:tcPr>
          <w:p w14:paraId="137B1482" w14:textId="77777777" w:rsidR="00004F63" w:rsidRPr="00066035" w:rsidRDefault="00004F63" w:rsidP="00DD1EC0">
            <w:pPr>
              <w:pStyle w:val="Tabletext"/>
              <w:jc w:val="right"/>
            </w:pPr>
          </w:p>
        </w:tc>
      </w:tr>
      <w:tr w:rsidR="00004F63" w:rsidRPr="00066035" w14:paraId="60AEBD61" w14:textId="77777777" w:rsidTr="00B80227">
        <w:tc>
          <w:tcPr>
            <w:tcW w:w="3888" w:type="dxa"/>
            <w:vAlign w:val="bottom"/>
          </w:tcPr>
          <w:p w14:paraId="50C00452" w14:textId="77777777" w:rsidR="00004F63" w:rsidRPr="00066035" w:rsidRDefault="00004F63" w:rsidP="00DD1EC0">
            <w:pPr>
              <w:pStyle w:val="Tabletext"/>
            </w:pPr>
            <w:r w:rsidRPr="00066035">
              <w:t>At date of incorporation (a)</w:t>
            </w:r>
          </w:p>
        </w:tc>
        <w:tc>
          <w:tcPr>
            <w:tcW w:w="1302" w:type="dxa"/>
            <w:vAlign w:val="bottom"/>
          </w:tcPr>
          <w:p w14:paraId="7172B11A" w14:textId="77777777" w:rsidR="00004F63" w:rsidRPr="00066035" w:rsidRDefault="00004F63" w:rsidP="00DD1EC0">
            <w:pPr>
              <w:pStyle w:val="Tabletext"/>
              <w:jc w:val="right"/>
            </w:pPr>
            <w:r w:rsidRPr="00066035">
              <w:t>100</w:t>
            </w:r>
          </w:p>
        </w:tc>
        <w:tc>
          <w:tcPr>
            <w:tcW w:w="1303" w:type="dxa"/>
            <w:vAlign w:val="bottom"/>
          </w:tcPr>
          <w:p w14:paraId="58012130" w14:textId="77777777" w:rsidR="00004F63" w:rsidRPr="00066035" w:rsidRDefault="00004F63" w:rsidP="00DD1EC0">
            <w:pPr>
              <w:pStyle w:val="Tabletext"/>
              <w:jc w:val="right"/>
            </w:pPr>
            <w:r w:rsidRPr="00066035">
              <w:t>–</w:t>
            </w:r>
          </w:p>
        </w:tc>
        <w:tc>
          <w:tcPr>
            <w:tcW w:w="1302" w:type="dxa"/>
            <w:vAlign w:val="bottom"/>
          </w:tcPr>
          <w:p w14:paraId="3E631A42" w14:textId="77777777" w:rsidR="00004F63" w:rsidRPr="00066035" w:rsidRDefault="00004F63" w:rsidP="00DD1EC0">
            <w:pPr>
              <w:pStyle w:val="Tabletext"/>
              <w:jc w:val="right"/>
            </w:pPr>
            <w:r w:rsidRPr="00066035">
              <w:t>49,999</w:t>
            </w:r>
          </w:p>
        </w:tc>
        <w:tc>
          <w:tcPr>
            <w:tcW w:w="1303" w:type="dxa"/>
            <w:vAlign w:val="bottom"/>
          </w:tcPr>
          <w:p w14:paraId="7AF33E6C" w14:textId="77777777" w:rsidR="00004F63" w:rsidRPr="00066035" w:rsidRDefault="00004F63" w:rsidP="00DD1EC0">
            <w:pPr>
              <w:pStyle w:val="Tabletext"/>
              <w:jc w:val="right"/>
            </w:pPr>
            <w:r w:rsidRPr="00066035">
              <w:t>50</w:t>
            </w:r>
          </w:p>
        </w:tc>
      </w:tr>
      <w:tr w:rsidR="00004F63" w:rsidRPr="00066035" w14:paraId="40C1FD5B" w14:textId="77777777" w:rsidTr="00B80227">
        <w:tc>
          <w:tcPr>
            <w:tcW w:w="3888" w:type="dxa"/>
            <w:vAlign w:val="bottom"/>
          </w:tcPr>
          <w:p w14:paraId="2AA40DBA" w14:textId="77777777" w:rsidR="00004F63" w:rsidRPr="00066035" w:rsidRDefault="00004F63" w:rsidP="00DD1EC0">
            <w:pPr>
              <w:pStyle w:val="Tabletext"/>
            </w:pPr>
            <w:r w:rsidRPr="00066035">
              <w:t>Acquisition of a subsidiary undertaking (b)</w:t>
            </w:r>
          </w:p>
        </w:tc>
        <w:tc>
          <w:tcPr>
            <w:tcW w:w="1302" w:type="dxa"/>
            <w:vAlign w:val="bottom"/>
          </w:tcPr>
          <w:p w14:paraId="72AF6A17" w14:textId="77777777" w:rsidR="00004F63" w:rsidRPr="00066035" w:rsidRDefault="00004F63" w:rsidP="00DD1EC0">
            <w:pPr>
              <w:pStyle w:val="Tabletext"/>
              <w:jc w:val="right"/>
            </w:pPr>
            <w:r w:rsidRPr="00066035">
              <w:t>1</w:t>
            </w:r>
          </w:p>
        </w:tc>
        <w:tc>
          <w:tcPr>
            <w:tcW w:w="1303" w:type="dxa"/>
            <w:vAlign w:val="bottom"/>
          </w:tcPr>
          <w:p w14:paraId="4E85E62C" w14:textId="77777777" w:rsidR="00004F63" w:rsidRPr="00066035" w:rsidRDefault="00004F63" w:rsidP="00DD1EC0">
            <w:pPr>
              <w:pStyle w:val="Tabletext"/>
              <w:jc w:val="right"/>
            </w:pPr>
            <w:r w:rsidRPr="00066035">
              <w:t>–</w:t>
            </w:r>
          </w:p>
        </w:tc>
        <w:tc>
          <w:tcPr>
            <w:tcW w:w="1302" w:type="dxa"/>
            <w:vAlign w:val="bottom"/>
          </w:tcPr>
          <w:p w14:paraId="01DBFC88" w14:textId="77777777" w:rsidR="00004F63" w:rsidRPr="00066035" w:rsidRDefault="00004F63" w:rsidP="00DD1EC0">
            <w:pPr>
              <w:pStyle w:val="Tabletext"/>
              <w:jc w:val="right"/>
            </w:pPr>
            <w:r w:rsidRPr="00066035">
              <w:t>–</w:t>
            </w:r>
          </w:p>
        </w:tc>
        <w:tc>
          <w:tcPr>
            <w:tcW w:w="1303" w:type="dxa"/>
            <w:vAlign w:val="bottom"/>
          </w:tcPr>
          <w:p w14:paraId="6F739903" w14:textId="77777777" w:rsidR="00004F63" w:rsidRPr="00066035" w:rsidRDefault="00004F63" w:rsidP="00DD1EC0">
            <w:pPr>
              <w:pStyle w:val="Tabletext"/>
              <w:jc w:val="right"/>
            </w:pPr>
            <w:r w:rsidRPr="00066035">
              <w:t>–</w:t>
            </w:r>
          </w:p>
        </w:tc>
      </w:tr>
      <w:tr w:rsidR="00004F63" w:rsidRPr="00066035" w14:paraId="5FDF0DC6" w14:textId="77777777" w:rsidTr="00B80227">
        <w:tc>
          <w:tcPr>
            <w:tcW w:w="3888" w:type="dxa"/>
            <w:vAlign w:val="bottom"/>
          </w:tcPr>
          <w:p w14:paraId="6D2160CD" w14:textId="77777777" w:rsidR="00004F63" w:rsidRPr="00066035" w:rsidRDefault="00004F63" w:rsidP="00DD1EC0">
            <w:pPr>
              <w:pStyle w:val="Tabletext"/>
            </w:pPr>
            <w:r w:rsidRPr="00066035">
              <w:t>On capitalisation of loans:</w:t>
            </w:r>
          </w:p>
        </w:tc>
        <w:tc>
          <w:tcPr>
            <w:tcW w:w="1302" w:type="dxa"/>
            <w:vAlign w:val="bottom"/>
          </w:tcPr>
          <w:p w14:paraId="348B8306" w14:textId="77777777" w:rsidR="00004F63" w:rsidRPr="00066035" w:rsidRDefault="00004F63" w:rsidP="00DD1EC0">
            <w:pPr>
              <w:pStyle w:val="Tabletext"/>
              <w:jc w:val="right"/>
            </w:pPr>
          </w:p>
        </w:tc>
        <w:tc>
          <w:tcPr>
            <w:tcW w:w="1303" w:type="dxa"/>
            <w:vAlign w:val="bottom"/>
          </w:tcPr>
          <w:p w14:paraId="672E3C0B" w14:textId="77777777" w:rsidR="00004F63" w:rsidRPr="00066035" w:rsidRDefault="00004F63" w:rsidP="00DD1EC0">
            <w:pPr>
              <w:pStyle w:val="Tabletext"/>
              <w:jc w:val="right"/>
            </w:pPr>
          </w:p>
        </w:tc>
        <w:tc>
          <w:tcPr>
            <w:tcW w:w="1302" w:type="dxa"/>
            <w:vAlign w:val="bottom"/>
          </w:tcPr>
          <w:p w14:paraId="73C25B0B" w14:textId="77777777" w:rsidR="00004F63" w:rsidRPr="00066035" w:rsidRDefault="00004F63" w:rsidP="00DD1EC0">
            <w:pPr>
              <w:pStyle w:val="Tabletext"/>
              <w:jc w:val="right"/>
            </w:pPr>
          </w:p>
        </w:tc>
        <w:tc>
          <w:tcPr>
            <w:tcW w:w="1303" w:type="dxa"/>
            <w:vAlign w:val="bottom"/>
          </w:tcPr>
          <w:p w14:paraId="022BA82A" w14:textId="77777777" w:rsidR="00004F63" w:rsidRPr="00066035" w:rsidRDefault="00004F63" w:rsidP="00DD1EC0">
            <w:pPr>
              <w:pStyle w:val="Tabletext"/>
              <w:jc w:val="right"/>
            </w:pPr>
          </w:p>
        </w:tc>
      </w:tr>
      <w:tr w:rsidR="00004F63" w:rsidRPr="00066035" w14:paraId="2086AF4C" w14:textId="77777777" w:rsidTr="00B80227">
        <w:tc>
          <w:tcPr>
            <w:tcW w:w="3888" w:type="dxa"/>
            <w:vAlign w:val="bottom"/>
          </w:tcPr>
          <w:p w14:paraId="0B205FD1" w14:textId="4B3C225F" w:rsidR="00004F63" w:rsidRPr="00066035" w:rsidRDefault="00892439" w:rsidP="00892439">
            <w:pPr>
              <w:pStyle w:val="Tabletextindented"/>
              <w:ind w:left="26"/>
            </w:pPr>
            <w:r w:rsidRPr="00066035">
              <w:t>–</w:t>
            </w:r>
            <w:r>
              <w:t xml:space="preserve"> </w:t>
            </w:r>
            <w:r w:rsidR="00004F63" w:rsidRPr="00066035">
              <w:t>shareholder loans (c)</w:t>
            </w:r>
          </w:p>
        </w:tc>
        <w:tc>
          <w:tcPr>
            <w:tcW w:w="1302" w:type="dxa"/>
            <w:vAlign w:val="bottom"/>
          </w:tcPr>
          <w:p w14:paraId="74089B35" w14:textId="77777777" w:rsidR="00004F63" w:rsidRPr="00066035" w:rsidRDefault="00004F63" w:rsidP="00DD1EC0">
            <w:pPr>
              <w:pStyle w:val="Tabletext"/>
              <w:jc w:val="right"/>
              <w:rPr>
                <w:color w:val="6F6F6E"/>
              </w:rPr>
            </w:pPr>
            <w:r w:rsidRPr="00066035">
              <w:rPr>
                <w:color w:val="6F6F6E"/>
              </w:rPr>
              <w:t>248,699,063</w:t>
            </w:r>
          </w:p>
        </w:tc>
        <w:tc>
          <w:tcPr>
            <w:tcW w:w="1303" w:type="dxa"/>
            <w:vAlign w:val="bottom"/>
          </w:tcPr>
          <w:p w14:paraId="093728A2" w14:textId="77777777" w:rsidR="00004F63" w:rsidRPr="00066035" w:rsidRDefault="00004F63" w:rsidP="00DD1EC0">
            <w:pPr>
              <w:pStyle w:val="Tabletext"/>
              <w:jc w:val="right"/>
              <w:rPr>
                <w:color w:val="6F6F6E"/>
              </w:rPr>
            </w:pPr>
            <w:r w:rsidRPr="00066035">
              <w:rPr>
                <w:color w:val="6F6F6E"/>
              </w:rPr>
              <w:t>2,487</w:t>
            </w:r>
          </w:p>
        </w:tc>
        <w:tc>
          <w:tcPr>
            <w:tcW w:w="1302" w:type="dxa"/>
            <w:vAlign w:val="bottom"/>
          </w:tcPr>
          <w:p w14:paraId="241E8361" w14:textId="77777777" w:rsidR="00004F63" w:rsidRPr="00066035" w:rsidRDefault="00004F63" w:rsidP="00DD1EC0">
            <w:pPr>
              <w:pStyle w:val="Tabletext"/>
              <w:jc w:val="right"/>
              <w:rPr>
                <w:color w:val="6F6F6E"/>
              </w:rPr>
            </w:pPr>
            <w:r w:rsidRPr="00066035">
              <w:rPr>
                <w:color w:val="6F6F6E"/>
              </w:rPr>
              <w:t>–</w:t>
            </w:r>
          </w:p>
        </w:tc>
        <w:tc>
          <w:tcPr>
            <w:tcW w:w="1303" w:type="dxa"/>
            <w:vAlign w:val="bottom"/>
          </w:tcPr>
          <w:p w14:paraId="41A2E061" w14:textId="77777777" w:rsidR="00004F63" w:rsidRPr="00066035" w:rsidRDefault="00004F63" w:rsidP="00DD1EC0">
            <w:pPr>
              <w:pStyle w:val="Tabletext"/>
              <w:jc w:val="right"/>
              <w:rPr>
                <w:color w:val="6F6F6E"/>
              </w:rPr>
            </w:pPr>
            <w:r w:rsidRPr="00066035">
              <w:rPr>
                <w:color w:val="6F6F6E"/>
              </w:rPr>
              <w:t>–</w:t>
            </w:r>
          </w:p>
        </w:tc>
      </w:tr>
      <w:tr w:rsidR="00004F63" w:rsidRPr="00066035" w14:paraId="337A2C6C" w14:textId="77777777" w:rsidTr="00B80227">
        <w:tc>
          <w:tcPr>
            <w:tcW w:w="3888" w:type="dxa"/>
            <w:vAlign w:val="bottom"/>
          </w:tcPr>
          <w:p w14:paraId="69FFCA14" w14:textId="3CC53ABF" w:rsidR="00004F63" w:rsidRPr="00066035" w:rsidRDefault="00892439" w:rsidP="00892439">
            <w:pPr>
              <w:pStyle w:val="Tabletextindented"/>
              <w:ind w:left="26"/>
            </w:pPr>
            <w:r w:rsidRPr="00066035">
              <w:t>–</w:t>
            </w:r>
            <w:r>
              <w:t xml:space="preserve"> </w:t>
            </w:r>
            <w:r w:rsidR="00004F63" w:rsidRPr="00066035">
              <w:t>managers’ loan notes (c)</w:t>
            </w:r>
          </w:p>
        </w:tc>
        <w:tc>
          <w:tcPr>
            <w:tcW w:w="1302" w:type="dxa"/>
            <w:vAlign w:val="bottom"/>
          </w:tcPr>
          <w:p w14:paraId="14F84872" w14:textId="77777777" w:rsidR="00004F63" w:rsidRPr="00066035" w:rsidRDefault="00004F63" w:rsidP="00DD1EC0">
            <w:pPr>
              <w:pStyle w:val="Tabletext"/>
              <w:jc w:val="right"/>
              <w:rPr>
                <w:color w:val="6F6F6E"/>
              </w:rPr>
            </w:pPr>
            <w:r w:rsidRPr="00066035">
              <w:rPr>
                <w:color w:val="6F6F6E"/>
              </w:rPr>
              <w:t>1,300,836</w:t>
            </w:r>
          </w:p>
        </w:tc>
        <w:tc>
          <w:tcPr>
            <w:tcW w:w="1303" w:type="dxa"/>
            <w:vAlign w:val="bottom"/>
          </w:tcPr>
          <w:p w14:paraId="13FFF577" w14:textId="77777777" w:rsidR="00004F63" w:rsidRPr="00066035" w:rsidRDefault="00004F63" w:rsidP="00DD1EC0">
            <w:pPr>
              <w:pStyle w:val="Tabletext"/>
              <w:jc w:val="right"/>
              <w:rPr>
                <w:color w:val="6F6F6E"/>
              </w:rPr>
            </w:pPr>
            <w:r w:rsidRPr="00066035">
              <w:rPr>
                <w:color w:val="6F6F6E"/>
              </w:rPr>
              <w:t>13</w:t>
            </w:r>
          </w:p>
        </w:tc>
        <w:tc>
          <w:tcPr>
            <w:tcW w:w="1302" w:type="dxa"/>
            <w:vAlign w:val="bottom"/>
          </w:tcPr>
          <w:p w14:paraId="5D78849C" w14:textId="77777777" w:rsidR="00004F63" w:rsidRPr="00066035" w:rsidRDefault="00004F63" w:rsidP="00DD1EC0">
            <w:pPr>
              <w:pStyle w:val="Tabletext"/>
              <w:jc w:val="right"/>
              <w:rPr>
                <w:color w:val="6F6F6E"/>
              </w:rPr>
            </w:pPr>
            <w:r w:rsidRPr="00066035">
              <w:rPr>
                <w:color w:val="6F6F6E"/>
              </w:rPr>
              <w:t>–</w:t>
            </w:r>
          </w:p>
        </w:tc>
        <w:tc>
          <w:tcPr>
            <w:tcW w:w="1303" w:type="dxa"/>
            <w:vAlign w:val="bottom"/>
          </w:tcPr>
          <w:p w14:paraId="73843F38" w14:textId="77777777" w:rsidR="00004F63" w:rsidRPr="00066035" w:rsidRDefault="00004F63" w:rsidP="00DD1EC0">
            <w:pPr>
              <w:pStyle w:val="Tabletext"/>
              <w:jc w:val="right"/>
              <w:rPr>
                <w:color w:val="6F6F6E"/>
              </w:rPr>
            </w:pPr>
            <w:r w:rsidRPr="00066035">
              <w:rPr>
                <w:color w:val="6F6F6E"/>
              </w:rPr>
              <w:t>–</w:t>
            </w:r>
          </w:p>
        </w:tc>
      </w:tr>
      <w:tr w:rsidR="00004F63" w:rsidRPr="00066035" w14:paraId="05B04FEA" w14:textId="77777777" w:rsidTr="00B80227">
        <w:tc>
          <w:tcPr>
            <w:tcW w:w="3888" w:type="dxa"/>
            <w:vAlign w:val="bottom"/>
          </w:tcPr>
          <w:p w14:paraId="7107066B" w14:textId="77777777" w:rsidR="00004F63" w:rsidRPr="00066035" w:rsidRDefault="00004F63" w:rsidP="00DD1EC0">
            <w:pPr>
              <w:pStyle w:val="Tabletext"/>
            </w:pPr>
            <w:r w:rsidRPr="00066035">
              <w:t>New shares issued:</w:t>
            </w:r>
          </w:p>
        </w:tc>
        <w:tc>
          <w:tcPr>
            <w:tcW w:w="1302" w:type="dxa"/>
            <w:vAlign w:val="bottom"/>
          </w:tcPr>
          <w:p w14:paraId="358E393F" w14:textId="77777777" w:rsidR="00004F63" w:rsidRPr="00066035" w:rsidRDefault="00004F63" w:rsidP="00DD1EC0">
            <w:pPr>
              <w:pStyle w:val="Tabletext"/>
              <w:jc w:val="right"/>
            </w:pPr>
          </w:p>
        </w:tc>
        <w:tc>
          <w:tcPr>
            <w:tcW w:w="1303" w:type="dxa"/>
            <w:vAlign w:val="bottom"/>
          </w:tcPr>
          <w:p w14:paraId="2C3701D3" w14:textId="77777777" w:rsidR="00004F63" w:rsidRPr="00066035" w:rsidRDefault="00004F63" w:rsidP="00DD1EC0">
            <w:pPr>
              <w:pStyle w:val="Tabletext"/>
              <w:jc w:val="right"/>
            </w:pPr>
          </w:p>
        </w:tc>
        <w:tc>
          <w:tcPr>
            <w:tcW w:w="1302" w:type="dxa"/>
            <w:vAlign w:val="bottom"/>
          </w:tcPr>
          <w:p w14:paraId="554DD09F" w14:textId="77777777" w:rsidR="00004F63" w:rsidRPr="00066035" w:rsidRDefault="00004F63" w:rsidP="00DD1EC0">
            <w:pPr>
              <w:pStyle w:val="Tabletext"/>
              <w:jc w:val="right"/>
            </w:pPr>
          </w:p>
        </w:tc>
        <w:tc>
          <w:tcPr>
            <w:tcW w:w="1303" w:type="dxa"/>
            <w:vAlign w:val="bottom"/>
          </w:tcPr>
          <w:p w14:paraId="25493CDA" w14:textId="77777777" w:rsidR="00004F63" w:rsidRPr="00066035" w:rsidRDefault="00004F63" w:rsidP="00DD1EC0">
            <w:pPr>
              <w:pStyle w:val="Tabletext"/>
              <w:jc w:val="right"/>
            </w:pPr>
          </w:p>
        </w:tc>
      </w:tr>
      <w:tr w:rsidR="00004F63" w:rsidRPr="00066035" w14:paraId="0B57FFD0" w14:textId="77777777" w:rsidTr="00B80227">
        <w:tc>
          <w:tcPr>
            <w:tcW w:w="3888" w:type="dxa"/>
            <w:vAlign w:val="bottom"/>
          </w:tcPr>
          <w:p w14:paraId="57F679E1" w14:textId="77777777" w:rsidR="00004F63" w:rsidRPr="00066035" w:rsidRDefault="00004F63" w:rsidP="00DD1EC0">
            <w:pPr>
              <w:pStyle w:val="Tabletext"/>
            </w:pPr>
            <w:r w:rsidRPr="00066035">
              <w:t>Directors’ and managers’ Accrued Incentive Payments (d)</w:t>
            </w:r>
          </w:p>
        </w:tc>
        <w:tc>
          <w:tcPr>
            <w:tcW w:w="1302" w:type="dxa"/>
            <w:vAlign w:val="bottom"/>
          </w:tcPr>
          <w:p w14:paraId="25AE9D95" w14:textId="77777777" w:rsidR="00004F63" w:rsidRPr="00066035" w:rsidRDefault="00004F63" w:rsidP="00DD1EC0">
            <w:pPr>
              <w:pStyle w:val="Tabletext"/>
              <w:jc w:val="right"/>
            </w:pPr>
            <w:r w:rsidRPr="00066035">
              <w:t>1,036,156</w:t>
            </w:r>
          </w:p>
        </w:tc>
        <w:tc>
          <w:tcPr>
            <w:tcW w:w="1303" w:type="dxa"/>
            <w:vAlign w:val="bottom"/>
          </w:tcPr>
          <w:p w14:paraId="36E025BC" w14:textId="77777777" w:rsidR="00004F63" w:rsidRPr="00066035" w:rsidRDefault="00004F63" w:rsidP="00DD1EC0">
            <w:pPr>
              <w:pStyle w:val="Tabletext"/>
              <w:jc w:val="right"/>
            </w:pPr>
            <w:r w:rsidRPr="00066035">
              <w:t>10</w:t>
            </w:r>
          </w:p>
        </w:tc>
        <w:tc>
          <w:tcPr>
            <w:tcW w:w="1302" w:type="dxa"/>
            <w:vAlign w:val="bottom"/>
          </w:tcPr>
          <w:p w14:paraId="50147783" w14:textId="77777777" w:rsidR="00004F63" w:rsidRPr="00066035" w:rsidRDefault="00004F63" w:rsidP="00DD1EC0">
            <w:pPr>
              <w:pStyle w:val="Tabletext"/>
              <w:jc w:val="right"/>
            </w:pPr>
            <w:r w:rsidRPr="00066035">
              <w:t>–</w:t>
            </w:r>
          </w:p>
        </w:tc>
        <w:tc>
          <w:tcPr>
            <w:tcW w:w="1303" w:type="dxa"/>
            <w:vAlign w:val="bottom"/>
          </w:tcPr>
          <w:p w14:paraId="3C39AABE" w14:textId="77777777" w:rsidR="00004F63" w:rsidRPr="00066035" w:rsidRDefault="00004F63" w:rsidP="00DD1EC0">
            <w:pPr>
              <w:pStyle w:val="Tabletext"/>
              <w:jc w:val="right"/>
            </w:pPr>
            <w:r w:rsidRPr="00066035">
              <w:t>–</w:t>
            </w:r>
          </w:p>
        </w:tc>
      </w:tr>
      <w:tr w:rsidR="00004F63" w:rsidRPr="00066035" w14:paraId="316AB66D" w14:textId="77777777" w:rsidTr="00B80227">
        <w:tc>
          <w:tcPr>
            <w:tcW w:w="3888" w:type="dxa"/>
            <w:vAlign w:val="bottom"/>
          </w:tcPr>
          <w:p w14:paraId="49FD784C" w14:textId="35C180D0" w:rsidR="00004F63" w:rsidRPr="00066035" w:rsidRDefault="00004F63" w:rsidP="00125C78">
            <w:pPr>
              <w:pStyle w:val="Tabletext"/>
            </w:pPr>
            <w:r w:rsidRPr="00066035">
              <w:t xml:space="preserve">Subscribed for by </w:t>
            </w:r>
            <w:r w:rsidR="00125C78">
              <w:t>N</w:t>
            </w:r>
            <w:r w:rsidRPr="00066035">
              <w:t>on-</w:t>
            </w:r>
            <w:r w:rsidR="00125C78">
              <w:t>E</w:t>
            </w:r>
            <w:r w:rsidRPr="00066035">
              <w:t xml:space="preserve">xecutive </w:t>
            </w:r>
            <w:r w:rsidR="00125C78">
              <w:t>D</w:t>
            </w:r>
            <w:r w:rsidRPr="00066035">
              <w:t>irectors (e)</w:t>
            </w:r>
          </w:p>
        </w:tc>
        <w:tc>
          <w:tcPr>
            <w:tcW w:w="1302" w:type="dxa"/>
            <w:vAlign w:val="bottom"/>
          </w:tcPr>
          <w:p w14:paraId="1BFCDC1F" w14:textId="77777777" w:rsidR="00004F63" w:rsidRPr="00066035" w:rsidRDefault="00004F63" w:rsidP="00DD1EC0">
            <w:pPr>
              <w:pStyle w:val="Tabletext"/>
              <w:jc w:val="right"/>
            </w:pPr>
            <w:r w:rsidRPr="00066035">
              <w:t>45,235</w:t>
            </w:r>
          </w:p>
        </w:tc>
        <w:tc>
          <w:tcPr>
            <w:tcW w:w="1303" w:type="dxa"/>
            <w:vAlign w:val="bottom"/>
          </w:tcPr>
          <w:p w14:paraId="4E9542F0" w14:textId="77777777" w:rsidR="00004F63" w:rsidRPr="00066035" w:rsidRDefault="00004F63" w:rsidP="00DD1EC0">
            <w:pPr>
              <w:pStyle w:val="Tabletext"/>
              <w:jc w:val="right"/>
            </w:pPr>
            <w:r w:rsidRPr="00066035">
              <w:t>–</w:t>
            </w:r>
          </w:p>
        </w:tc>
        <w:tc>
          <w:tcPr>
            <w:tcW w:w="1302" w:type="dxa"/>
            <w:vAlign w:val="bottom"/>
          </w:tcPr>
          <w:p w14:paraId="4F35DB6F" w14:textId="77777777" w:rsidR="00004F63" w:rsidRPr="00066035" w:rsidRDefault="00004F63" w:rsidP="00DD1EC0">
            <w:pPr>
              <w:pStyle w:val="Tabletext"/>
              <w:jc w:val="right"/>
            </w:pPr>
            <w:r w:rsidRPr="00066035">
              <w:t>–</w:t>
            </w:r>
          </w:p>
        </w:tc>
        <w:tc>
          <w:tcPr>
            <w:tcW w:w="1303" w:type="dxa"/>
            <w:vAlign w:val="bottom"/>
          </w:tcPr>
          <w:p w14:paraId="603020E4" w14:textId="77777777" w:rsidR="00004F63" w:rsidRPr="00066035" w:rsidRDefault="00004F63" w:rsidP="00DD1EC0">
            <w:pPr>
              <w:pStyle w:val="Tabletext"/>
              <w:jc w:val="right"/>
            </w:pPr>
            <w:r w:rsidRPr="00066035">
              <w:t>–</w:t>
            </w:r>
          </w:p>
        </w:tc>
      </w:tr>
      <w:tr w:rsidR="009E3D84" w:rsidRPr="00066035" w14:paraId="6814F1A0" w14:textId="77777777" w:rsidTr="00B80227">
        <w:tc>
          <w:tcPr>
            <w:tcW w:w="3888" w:type="dxa"/>
            <w:vAlign w:val="bottom"/>
          </w:tcPr>
          <w:p w14:paraId="65E54724" w14:textId="77777777" w:rsidR="00004F63" w:rsidRPr="00066035" w:rsidRDefault="00004F63" w:rsidP="00DD1EC0">
            <w:pPr>
              <w:pStyle w:val="Tabletext"/>
            </w:pPr>
            <w:r w:rsidRPr="00066035">
              <w:t>New shares (f)</w:t>
            </w:r>
          </w:p>
        </w:tc>
        <w:tc>
          <w:tcPr>
            <w:tcW w:w="1302" w:type="dxa"/>
            <w:vAlign w:val="bottom"/>
          </w:tcPr>
          <w:p w14:paraId="27E71E39" w14:textId="77777777" w:rsidR="00004F63" w:rsidRPr="00066035" w:rsidRDefault="00004F63" w:rsidP="00DD1EC0">
            <w:pPr>
              <w:pStyle w:val="Tabletext"/>
              <w:jc w:val="right"/>
            </w:pPr>
            <w:r w:rsidRPr="00066035">
              <w:t>150,000,000</w:t>
            </w:r>
          </w:p>
        </w:tc>
        <w:tc>
          <w:tcPr>
            <w:tcW w:w="1303" w:type="dxa"/>
            <w:vAlign w:val="bottom"/>
          </w:tcPr>
          <w:p w14:paraId="687F4AFE" w14:textId="77777777" w:rsidR="00004F63" w:rsidRPr="00066035" w:rsidRDefault="00004F63" w:rsidP="00DD1EC0">
            <w:pPr>
              <w:pStyle w:val="Tabletext"/>
              <w:jc w:val="right"/>
            </w:pPr>
            <w:r w:rsidRPr="00066035">
              <w:t>1,500</w:t>
            </w:r>
          </w:p>
        </w:tc>
        <w:tc>
          <w:tcPr>
            <w:tcW w:w="1302" w:type="dxa"/>
            <w:vAlign w:val="bottom"/>
          </w:tcPr>
          <w:p w14:paraId="766CEDC1" w14:textId="77777777" w:rsidR="00004F63" w:rsidRPr="00066035" w:rsidRDefault="00004F63" w:rsidP="00DD1EC0">
            <w:pPr>
              <w:pStyle w:val="Tabletext"/>
              <w:jc w:val="right"/>
            </w:pPr>
            <w:r w:rsidRPr="00066035">
              <w:t>–</w:t>
            </w:r>
          </w:p>
        </w:tc>
        <w:tc>
          <w:tcPr>
            <w:tcW w:w="1303" w:type="dxa"/>
            <w:vAlign w:val="bottom"/>
          </w:tcPr>
          <w:p w14:paraId="4BE9EC24" w14:textId="77777777" w:rsidR="00004F63" w:rsidRPr="00066035" w:rsidRDefault="00004F63" w:rsidP="00DD1EC0">
            <w:pPr>
              <w:pStyle w:val="Tabletext"/>
              <w:jc w:val="right"/>
            </w:pPr>
            <w:r w:rsidRPr="00066035">
              <w:t>–</w:t>
            </w:r>
          </w:p>
        </w:tc>
      </w:tr>
      <w:tr w:rsidR="009E3D84" w:rsidRPr="00066035" w14:paraId="63CB45E9" w14:textId="77777777" w:rsidTr="00B80227">
        <w:tc>
          <w:tcPr>
            <w:tcW w:w="3888" w:type="dxa"/>
            <w:tcBorders>
              <w:bottom w:val="single" w:sz="4" w:space="0" w:color="93B7BB"/>
            </w:tcBorders>
            <w:vAlign w:val="bottom"/>
          </w:tcPr>
          <w:p w14:paraId="06866B15" w14:textId="77777777" w:rsidR="00004F63" w:rsidRPr="00066035" w:rsidRDefault="00004F63" w:rsidP="00DD1EC0">
            <w:pPr>
              <w:pStyle w:val="Tabletext"/>
            </w:pPr>
            <w:r w:rsidRPr="00066035">
              <w:t>Redemption (a)</w:t>
            </w:r>
          </w:p>
        </w:tc>
        <w:tc>
          <w:tcPr>
            <w:tcW w:w="1302" w:type="dxa"/>
            <w:tcBorders>
              <w:bottom w:val="single" w:sz="4" w:space="0" w:color="93B7BB"/>
            </w:tcBorders>
            <w:vAlign w:val="bottom"/>
          </w:tcPr>
          <w:p w14:paraId="6DC6C3F1" w14:textId="77777777" w:rsidR="00004F63" w:rsidRPr="00066035" w:rsidRDefault="00004F63" w:rsidP="00DD1EC0">
            <w:pPr>
              <w:pStyle w:val="Tabletext"/>
              <w:jc w:val="right"/>
            </w:pPr>
            <w:r w:rsidRPr="00066035">
              <w:t>–</w:t>
            </w:r>
          </w:p>
        </w:tc>
        <w:tc>
          <w:tcPr>
            <w:tcW w:w="1303" w:type="dxa"/>
            <w:tcBorders>
              <w:bottom w:val="single" w:sz="4" w:space="0" w:color="93B7BB"/>
            </w:tcBorders>
            <w:vAlign w:val="bottom"/>
          </w:tcPr>
          <w:p w14:paraId="7D57E10B" w14:textId="77777777" w:rsidR="00004F63" w:rsidRPr="00066035" w:rsidRDefault="00004F63" w:rsidP="00DD1EC0">
            <w:pPr>
              <w:pStyle w:val="Tabletext"/>
              <w:jc w:val="right"/>
            </w:pPr>
            <w:r w:rsidRPr="00066035">
              <w:t>–</w:t>
            </w:r>
          </w:p>
        </w:tc>
        <w:tc>
          <w:tcPr>
            <w:tcW w:w="1302" w:type="dxa"/>
            <w:tcBorders>
              <w:bottom w:val="single" w:sz="4" w:space="0" w:color="93B7BB"/>
            </w:tcBorders>
            <w:vAlign w:val="bottom"/>
          </w:tcPr>
          <w:p w14:paraId="2F6163CD" w14:textId="77777777" w:rsidR="00004F63" w:rsidRPr="00066035" w:rsidRDefault="00004F63" w:rsidP="00DD1EC0">
            <w:pPr>
              <w:pStyle w:val="Tabletext"/>
              <w:jc w:val="right"/>
            </w:pPr>
            <w:r w:rsidRPr="00066035">
              <w:t>(49,999)</w:t>
            </w:r>
          </w:p>
        </w:tc>
        <w:tc>
          <w:tcPr>
            <w:tcW w:w="1303" w:type="dxa"/>
            <w:tcBorders>
              <w:bottom w:val="single" w:sz="4" w:space="0" w:color="93B7BB"/>
            </w:tcBorders>
            <w:vAlign w:val="bottom"/>
          </w:tcPr>
          <w:p w14:paraId="463E6C3D" w14:textId="77777777" w:rsidR="00004F63" w:rsidRPr="00066035" w:rsidRDefault="00004F63" w:rsidP="00DD1EC0">
            <w:pPr>
              <w:pStyle w:val="Tabletext"/>
              <w:jc w:val="right"/>
            </w:pPr>
            <w:r w:rsidRPr="00066035">
              <w:t>(50)</w:t>
            </w:r>
          </w:p>
        </w:tc>
      </w:tr>
      <w:tr w:rsidR="00B80227" w:rsidRPr="00066035" w14:paraId="4401EA85" w14:textId="77777777" w:rsidTr="00B80227">
        <w:tc>
          <w:tcPr>
            <w:tcW w:w="3888" w:type="dxa"/>
            <w:tcBorders>
              <w:top w:val="single" w:sz="4" w:space="0" w:color="93B7BB"/>
              <w:bottom w:val="single" w:sz="4" w:space="0" w:color="93B7BB"/>
            </w:tcBorders>
            <w:vAlign w:val="bottom"/>
          </w:tcPr>
          <w:p w14:paraId="41A06DB2" w14:textId="73AA13A2" w:rsidR="00B80227" w:rsidRPr="00066035" w:rsidRDefault="00B80227" w:rsidP="00DD1EC0">
            <w:pPr>
              <w:pStyle w:val="Tabletext"/>
            </w:pPr>
            <w:r w:rsidRPr="00066035">
              <w:t>At 31 December 2014</w:t>
            </w:r>
          </w:p>
        </w:tc>
        <w:tc>
          <w:tcPr>
            <w:tcW w:w="1302" w:type="dxa"/>
            <w:tcBorders>
              <w:top w:val="single" w:sz="4" w:space="0" w:color="93B7BB"/>
              <w:bottom w:val="single" w:sz="4" w:space="0" w:color="93B7BB"/>
            </w:tcBorders>
            <w:vAlign w:val="bottom"/>
          </w:tcPr>
          <w:p w14:paraId="429D2A5E" w14:textId="47015F12" w:rsidR="00B80227" w:rsidRPr="00B80227" w:rsidRDefault="00B80227" w:rsidP="00DD1EC0">
            <w:pPr>
              <w:pStyle w:val="Tabletext"/>
              <w:jc w:val="right"/>
            </w:pPr>
            <w:r w:rsidRPr="00B80227">
              <w:t>401,081,391</w:t>
            </w:r>
          </w:p>
        </w:tc>
        <w:tc>
          <w:tcPr>
            <w:tcW w:w="1303" w:type="dxa"/>
            <w:tcBorders>
              <w:top w:val="single" w:sz="4" w:space="0" w:color="93B7BB"/>
              <w:bottom w:val="single" w:sz="4" w:space="0" w:color="93B7BB"/>
            </w:tcBorders>
            <w:vAlign w:val="bottom"/>
          </w:tcPr>
          <w:p w14:paraId="226F36C9" w14:textId="1AA9203D" w:rsidR="00B80227" w:rsidRPr="00B80227" w:rsidRDefault="00B80227" w:rsidP="00DD1EC0">
            <w:pPr>
              <w:pStyle w:val="Tabletext"/>
              <w:jc w:val="right"/>
            </w:pPr>
            <w:r w:rsidRPr="00B80227">
              <w:t>4,010</w:t>
            </w:r>
          </w:p>
        </w:tc>
        <w:tc>
          <w:tcPr>
            <w:tcW w:w="1302" w:type="dxa"/>
            <w:tcBorders>
              <w:top w:val="single" w:sz="4" w:space="0" w:color="93B7BB"/>
              <w:bottom w:val="single" w:sz="4" w:space="0" w:color="93B7BB"/>
            </w:tcBorders>
            <w:vAlign w:val="bottom"/>
          </w:tcPr>
          <w:p w14:paraId="1F95804F" w14:textId="654690CF" w:rsidR="00B80227" w:rsidRPr="00B80227" w:rsidRDefault="00B80227" w:rsidP="00DD1EC0">
            <w:pPr>
              <w:pStyle w:val="Tabletext"/>
              <w:jc w:val="right"/>
            </w:pPr>
            <w:r w:rsidRPr="00B80227">
              <w:t>–</w:t>
            </w:r>
          </w:p>
        </w:tc>
        <w:tc>
          <w:tcPr>
            <w:tcW w:w="1303" w:type="dxa"/>
            <w:tcBorders>
              <w:top w:val="single" w:sz="4" w:space="0" w:color="93B7BB"/>
              <w:bottom w:val="single" w:sz="4" w:space="0" w:color="93B7BB"/>
            </w:tcBorders>
            <w:vAlign w:val="bottom"/>
          </w:tcPr>
          <w:p w14:paraId="45680E85" w14:textId="5F2E4E6E" w:rsidR="00B80227" w:rsidRPr="00B80227" w:rsidRDefault="00B80227" w:rsidP="00DD1EC0">
            <w:pPr>
              <w:pStyle w:val="Tabletext"/>
              <w:jc w:val="right"/>
            </w:pPr>
            <w:r w:rsidRPr="00B80227">
              <w:t>–</w:t>
            </w:r>
          </w:p>
        </w:tc>
      </w:tr>
      <w:tr w:rsidR="00B80227" w:rsidRPr="00066035" w14:paraId="0BF574B3" w14:textId="77777777" w:rsidTr="00B80227">
        <w:tc>
          <w:tcPr>
            <w:tcW w:w="3888" w:type="dxa"/>
            <w:tcBorders>
              <w:bottom w:val="single" w:sz="4" w:space="0" w:color="93B7BB"/>
            </w:tcBorders>
            <w:vAlign w:val="bottom"/>
          </w:tcPr>
          <w:p w14:paraId="0845EF1D" w14:textId="0990BBB2" w:rsidR="00B80227" w:rsidRPr="00B80227" w:rsidRDefault="00B80227" w:rsidP="00B80227">
            <w:pPr>
              <w:pStyle w:val="Tabletext"/>
              <w:rPr>
                <w:b/>
              </w:rPr>
            </w:pPr>
            <w:r w:rsidRPr="00B80227">
              <w:rPr>
                <w:b/>
              </w:rPr>
              <w:t>At 31 December 2015</w:t>
            </w:r>
          </w:p>
        </w:tc>
        <w:tc>
          <w:tcPr>
            <w:tcW w:w="1302" w:type="dxa"/>
            <w:tcBorders>
              <w:bottom w:val="single" w:sz="4" w:space="0" w:color="93B7BB"/>
            </w:tcBorders>
            <w:vAlign w:val="bottom"/>
          </w:tcPr>
          <w:p w14:paraId="7DF2DB7C" w14:textId="77777777" w:rsidR="00B80227" w:rsidRPr="00B80227" w:rsidRDefault="00B80227" w:rsidP="00DD1EC0">
            <w:pPr>
              <w:pStyle w:val="Tabletext"/>
              <w:jc w:val="right"/>
              <w:rPr>
                <w:b/>
              </w:rPr>
            </w:pPr>
            <w:r w:rsidRPr="00B80227">
              <w:rPr>
                <w:b/>
              </w:rPr>
              <w:t>401,081,391</w:t>
            </w:r>
          </w:p>
        </w:tc>
        <w:tc>
          <w:tcPr>
            <w:tcW w:w="1303" w:type="dxa"/>
            <w:tcBorders>
              <w:bottom w:val="single" w:sz="4" w:space="0" w:color="93B7BB"/>
            </w:tcBorders>
            <w:vAlign w:val="bottom"/>
          </w:tcPr>
          <w:p w14:paraId="68DB2DD6" w14:textId="77777777" w:rsidR="00B80227" w:rsidRPr="00B80227" w:rsidRDefault="00B80227" w:rsidP="00DD1EC0">
            <w:pPr>
              <w:pStyle w:val="Tabletext"/>
              <w:jc w:val="right"/>
              <w:rPr>
                <w:b/>
              </w:rPr>
            </w:pPr>
            <w:r w:rsidRPr="00B80227">
              <w:rPr>
                <w:b/>
              </w:rPr>
              <w:t>4,010</w:t>
            </w:r>
          </w:p>
        </w:tc>
        <w:tc>
          <w:tcPr>
            <w:tcW w:w="1302" w:type="dxa"/>
            <w:tcBorders>
              <w:bottom w:val="single" w:sz="4" w:space="0" w:color="93B7BB"/>
            </w:tcBorders>
            <w:vAlign w:val="bottom"/>
          </w:tcPr>
          <w:p w14:paraId="3B7A6C72" w14:textId="77777777" w:rsidR="00B80227" w:rsidRPr="00B80227" w:rsidRDefault="00B80227" w:rsidP="00DD1EC0">
            <w:pPr>
              <w:pStyle w:val="Tabletext"/>
              <w:jc w:val="right"/>
              <w:rPr>
                <w:b/>
              </w:rPr>
            </w:pPr>
            <w:r w:rsidRPr="00B80227">
              <w:rPr>
                <w:b/>
              </w:rPr>
              <w:t>–</w:t>
            </w:r>
          </w:p>
        </w:tc>
        <w:tc>
          <w:tcPr>
            <w:tcW w:w="1303" w:type="dxa"/>
            <w:tcBorders>
              <w:bottom w:val="single" w:sz="4" w:space="0" w:color="93B7BB"/>
            </w:tcBorders>
            <w:vAlign w:val="bottom"/>
          </w:tcPr>
          <w:p w14:paraId="629F14FF" w14:textId="77777777" w:rsidR="00B80227" w:rsidRPr="00B80227" w:rsidRDefault="00B80227" w:rsidP="00DD1EC0">
            <w:pPr>
              <w:pStyle w:val="Tabletext"/>
              <w:jc w:val="right"/>
              <w:rPr>
                <w:b/>
              </w:rPr>
            </w:pPr>
            <w:r w:rsidRPr="00B80227">
              <w:rPr>
                <w:b/>
              </w:rPr>
              <w:t>–</w:t>
            </w:r>
          </w:p>
        </w:tc>
      </w:tr>
    </w:tbl>
    <w:p w14:paraId="628AA661" w14:textId="77777777" w:rsidR="00D94AEE" w:rsidRDefault="00D94AEE" w:rsidP="00D94AEE">
      <w:pPr>
        <w:pStyle w:val="Footnote"/>
      </w:pPr>
    </w:p>
    <w:p w14:paraId="7C1DCFA5" w14:textId="77777777" w:rsidR="00004F63" w:rsidRPr="00066035" w:rsidRDefault="00004F63" w:rsidP="00D94AEE">
      <w:pPr>
        <w:pStyle w:val="Heading4"/>
      </w:pPr>
      <w:r w:rsidRPr="00066035">
        <w:t>Group reorganisation</w:t>
      </w:r>
    </w:p>
    <w:p w14:paraId="77051D1D" w14:textId="4DE90A7D" w:rsidR="00004F63" w:rsidRPr="00066035" w:rsidRDefault="00004F63" w:rsidP="00B80227">
      <w:pPr>
        <w:pStyle w:val="ListParagraph"/>
        <w:numPr>
          <w:ilvl w:val="0"/>
          <w:numId w:val="29"/>
        </w:numPr>
        <w:spacing w:after="0"/>
        <w:ind w:left="284" w:hanging="280"/>
        <w:jc w:val="both"/>
      </w:pPr>
      <w:r w:rsidRPr="00066035">
        <w:t>On 12 June 2014</w:t>
      </w:r>
      <w:r w:rsidR="0056611D">
        <w:t>,</w:t>
      </w:r>
      <w:r w:rsidRPr="00066035">
        <w:t xml:space="preserve"> the Company issued 100 ordinary shares of £0.01 each to the initial shareholder</w:t>
      </w:r>
      <w:r w:rsidR="0056611D">
        <w:t>,</w:t>
      </w:r>
      <w:r w:rsidRPr="00066035">
        <w:t xml:space="preserve"> Spire Healthcare Limited Partnership.</w:t>
      </w:r>
      <w:r w:rsidR="008A611E">
        <w:t xml:space="preserve"> Also on this date</w:t>
      </w:r>
      <w:r w:rsidR="0056611D">
        <w:t>,</w:t>
      </w:r>
      <w:r w:rsidRPr="00066035">
        <w:t xml:space="preserve"> the Company issued 49,999 non-voting redeemable preference shares of £1 each to Spire Healthcare Limited Partnership. These shares were subsequently redeemed on 23 July 2014.</w:t>
      </w:r>
    </w:p>
    <w:p w14:paraId="1A3AE377" w14:textId="40BC9807" w:rsidR="00004F63" w:rsidRPr="00066035" w:rsidRDefault="00004F63" w:rsidP="00B80227">
      <w:pPr>
        <w:pStyle w:val="ListParagraph"/>
        <w:numPr>
          <w:ilvl w:val="0"/>
          <w:numId w:val="29"/>
        </w:numPr>
        <w:ind w:left="284" w:hanging="284"/>
        <w:jc w:val="both"/>
      </w:pPr>
      <w:r w:rsidRPr="00066035">
        <w:t>On 23 July 2014</w:t>
      </w:r>
      <w:r w:rsidR="0056611D">
        <w:t>,</w:t>
      </w:r>
      <w:r w:rsidRPr="00066035">
        <w:t xml:space="preserve"> the Company acquired the entire issued share capital of Spire Healthcare Group UK Limited in exchange for the issue of </w:t>
      </w:r>
      <w:r w:rsidR="002D709B">
        <w:t>one</w:t>
      </w:r>
      <w:r w:rsidRPr="00066035">
        <w:t xml:space="preserve"> new ordinary share of £0.01 to Spire Healthcare Limited Partnership.</w:t>
      </w:r>
    </w:p>
    <w:p w14:paraId="6034FE81" w14:textId="3A54C2FD" w:rsidR="00004F63" w:rsidRPr="00066035" w:rsidRDefault="00004F63" w:rsidP="00B80227">
      <w:pPr>
        <w:pStyle w:val="ListParagraph"/>
        <w:numPr>
          <w:ilvl w:val="0"/>
          <w:numId w:val="29"/>
        </w:numPr>
        <w:ind w:left="284" w:hanging="284"/>
        <w:jc w:val="both"/>
      </w:pPr>
      <w:r w:rsidRPr="00066035">
        <w:t xml:space="preserve">The Company subsequently reorganised its share capital. On </w:t>
      </w:r>
      <w:r w:rsidR="000879A0">
        <w:t>23</w:t>
      </w:r>
      <w:r w:rsidRPr="00066035">
        <w:t xml:space="preserve"> July 2014</w:t>
      </w:r>
      <w:r w:rsidR="0056611D">
        <w:t>,</w:t>
      </w:r>
      <w:r w:rsidRPr="00066035">
        <w:t xml:space="preserve"> the Company issued 248,699,063 ordinary shares and 1,300,836 ordinary shares of £0.01 each </w:t>
      </w:r>
      <w:r w:rsidR="0041337C">
        <w:t>at a premium of £2.09 per share</w:t>
      </w:r>
      <w:r w:rsidRPr="00066035">
        <w:t xml:space="preserve"> to </w:t>
      </w:r>
      <w:proofErr w:type="spellStart"/>
      <w:r w:rsidRPr="00066035">
        <w:t>Rozier</w:t>
      </w:r>
      <w:proofErr w:type="spellEnd"/>
      <w:r w:rsidRPr="00066035">
        <w:t xml:space="preserve"> </w:t>
      </w:r>
      <w:proofErr w:type="spellStart"/>
      <w:r w:rsidRPr="00066035">
        <w:t>S.à</w:t>
      </w:r>
      <w:proofErr w:type="spellEnd"/>
      <w:r w:rsidRPr="00066035">
        <w:t xml:space="preserve">. </w:t>
      </w:r>
      <w:proofErr w:type="spellStart"/>
      <w:r w:rsidRPr="00066035">
        <w:t>r.l</w:t>
      </w:r>
      <w:proofErr w:type="spellEnd"/>
      <w:r w:rsidRPr="00066035">
        <w:t xml:space="preserve"> in exchange for settlement of the former ultimat</w:t>
      </w:r>
      <w:r w:rsidR="002D709B">
        <w:t>e parent loan notes and to the m</w:t>
      </w:r>
      <w:r w:rsidRPr="00066035">
        <w:t xml:space="preserve">anagement team in </w:t>
      </w:r>
      <w:r w:rsidR="002D709B">
        <w:t>exchange for settlement of the m</w:t>
      </w:r>
      <w:r w:rsidRPr="00066035">
        <w:t>anagement loan notes</w:t>
      </w:r>
      <w:r w:rsidR="00696C99">
        <w:t>,</w:t>
      </w:r>
      <w:r w:rsidRPr="00066035">
        <w:t xml:space="preserve"> respectively.</w:t>
      </w:r>
    </w:p>
    <w:p w14:paraId="6C14967E" w14:textId="0F96BC83" w:rsidR="00004F63" w:rsidRPr="00066035" w:rsidRDefault="00004F63" w:rsidP="00B80227">
      <w:pPr>
        <w:pStyle w:val="ListParagraph"/>
        <w:numPr>
          <w:ilvl w:val="0"/>
          <w:numId w:val="29"/>
        </w:numPr>
        <w:ind w:left="284" w:hanging="284"/>
        <w:jc w:val="both"/>
      </w:pPr>
      <w:r w:rsidRPr="00066035">
        <w:t>On 23 July 2014</w:t>
      </w:r>
      <w:r w:rsidR="00696C99">
        <w:t>,</w:t>
      </w:r>
      <w:r w:rsidRPr="00066035">
        <w:t xml:space="preserve"> the Company issued 1,036,156 ordinary </w:t>
      </w:r>
      <w:r w:rsidR="0041337C" w:rsidRPr="00066035">
        <w:t xml:space="preserve">£0.01 </w:t>
      </w:r>
      <w:r w:rsidRPr="00066035">
        <w:t xml:space="preserve">shares </w:t>
      </w:r>
      <w:r w:rsidR="0041337C">
        <w:t xml:space="preserve">at a premium </w:t>
      </w:r>
      <w:r w:rsidRPr="00066035">
        <w:t>of £</w:t>
      </w:r>
      <w:r w:rsidR="0041337C">
        <w:t>2.09</w:t>
      </w:r>
      <w:r w:rsidRPr="00066035">
        <w:t xml:space="preserve"> each to members of the executive management team and a </w:t>
      </w:r>
      <w:r w:rsidR="00125C78">
        <w:t>D</w:t>
      </w:r>
      <w:r w:rsidRPr="00066035">
        <w:t>irector</w:t>
      </w:r>
      <w:r w:rsidR="00696C99">
        <w:t>,</w:t>
      </w:r>
      <w:r w:rsidRPr="00066035">
        <w:t xml:space="preserve"> Simon Gordon, in order to reflect their contribution to the past performance of the Group and to the Group achieving Admission (‘Accrued Incentive Payments’).</w:t>
      </w:r>
    </w:p>
    <w:p w14:paraId="28659EF8" w14:textId="209B4B4D" w:rsidR="00004F63" w:rsidRPr="00066035" w:rsidRDefault="00004F63" w:rsidP="00B80227">
      <w:pPr>
        <w:pStyle w:val="ListParagraph"/>
        <w:numPr>
          <w:ilvl w:val="0"/>
          <w:numId w:val="29"/>
        </w:numPr>
        <w:ind w:left="284" w:hanging="284"/>
        <w:jc w:val="both"/>
      </w:pPr>
      <w:r w:rsidRPr="00066035">
        <w:t>On 23 July 2014</w:t>
      </w:r>
      <w:r w:rsidR="00696C99">
        <w:t>,</w:t>
      </w:r>
      <w:r w:rsidRPr="00066035">
        <w:t xml:space="preserve"> </w:t>
      </w:r>
      <w:r w:rsidR="00D00E92" w:rsidRPr="00066035">
        <w:t xml:space="preserve">certain </w:t>
      </w:r>
      <w:r w:rsidR="00D00E92">
        <w:t>N</w:t>
      </w:r>
      <w:r w:rsidR="00D00E92" w:rsidRPr="00066035">
        <w:t>on-</w:t>
      </w:r>
      <w:r w:rsidR="00D00E92">
        <w:t>E</w:t>
      </w:r>
      <w:r w:rsidR="00D00E92" w:rsidRPr="00066035">
        <w:t xml:space="preserve">xecutive </w:t>
      </w:r>
      <w:r w:rsidR="00D00E92">
        <w:t>D</w:t>
      </w:r>
      <w:r w:rsidR="00D00E92" w:rsidRPr="00066035">
        <w:t>irectors, namely</w:t>
      </w:r>
      <w:r w:rsidR="00D00E92">
        <w:t>,</w:t>
      </w:r>
      <w:r w:rsidR="00D00E92" w:rsidRPr="00066035">
        <w:t xml:space="preserve"> John </w:t>
      </w:r>
      <w:proofErr w:type="spellStart"/>
      <w:r w:rsidR="00D00E92" w:rsidRPr="00066035">
        <w:t>Gildersleeve</w:t>
      </w:r>
      <w:proofErr w:type="spellEnd"/>
      <w:r w:rsidR="00D00E92" w:rsidRPr="00066035">
        <w:t xml:space="preserve">, Tony Bourne, </w:t>
      </w:r>
      <w:r w:rsidR="00D00E92">
        <w:t xml:space="preserve">Dame </w:t>
      </w:r>
      <w:r w:rsidR="00D00E92" w:rsidRPr="00066035">
        <w:t xml:space="preserve">Janet Husband and Robert </w:t>
      </w:r>
      <w:proofErr w:type="spellStart"/>
      <w:r w:rsidR="00D00E92" w:rsidRPr="00066035">
        <w:t>Lerwill</w:t>
      </w:r>
      <w:proofErr w:type="spellEnd"/>
      <w:r w:rsidR="009D4898">
        <w:t>,</w:t>
      </w:r>
      <w:r w:rsidR="00D00E92" w:rsidRPr="00066035">
        <w:t xml:space="preserve"> </w:t>
      </w:r>
      <w:r w:rsidR="00D00E92">
        <w:t xml:space="preserve">subscribed to </w:t>
      </w:r>
      <w:r w:rsidRPr="00066035">
        <w:t xml:space="preserve">45,235 ordinary </w:t>
      </w:r>
      <w:r w:rsidR="0041337C" w:rsidRPr="00066035">
        <w:t xml:space="preserve">£0.01 </w:t>
      </w:r>
      <w:r w:rsidRPr="00066035">
        <w:t xml:space="preserve">shares </w:t>
      </w:r>
      <w:r w:rsidR="0041337C">
        <w:t xml:space="preserve">at a premium </w:t>
      </w:r>
      <w:r w:rsidRPr="00066035">
        <w:t>of £</w:t>
      </w:r>
      <w:r w:rsidR="0041337C">
        <w:t>2.09</w:t>
      </w:r>
      <w:r w:rsidRPr="00066035">
        <w:t xml:space="preserve"> each </w:t>
      </w:r>
      <w:r w:rsidR="00D00E92">
        <w:t>in the Company</w:t>
      </w:r>
      <w:r w:rsidRPr="00066035">
        <w:t>.</w:t>
      </w:r>
    </w:p>
    <w:p w14:paraId="5D904E82" w14:textId="7261AF56" w:rsidR="00D94AEE" w:rsidRDefault="00004F63" w:rsidP="00B80227">
      <w:pPr>
        <w:pStyle w:val="ListParagraph"/>
        <w:numPr>
          <w:ilvl w:val="0"/>
          <w:numId w:val="29"/>
        </w:numPr>
        <w:ind w:left="284" w:hanging="284"/>
        <w:jc w:val="both"/>
      </w:pPr>
      <w:r w:rsidRPr="00066035">
        <w:t>On Admission on 23 July 2014</w:t>
      </w:r>
      <w:r w:rsidR="00696C99">
        <w:t>,</w:t>
      </w:r>
      <w:r w:rsidRPr="00066035">
        <w:t xml:space="preserve"> the Company issued 150,000,000 new ordinary shares</w:t>
      </w:r>
      <w:r w:rsidR="009D4898">
        <w:t xml:space="preserve"> of </w:t>
      </w:r>
      <w:r w:rsidR="009D4898" w:rsidRPr="00066035">
        <w:t>£0.01 each</w:t>
      </w:r>
      <w:r w:rsidRPr="00066035">
        <w:t>, generating cash proceeds of £306.9 million, net of costs.</w:t>
      </w:r>
    </w:p>
    <w:p w14:paraId="0420B6D5" w14:textId="77777777" w:rsidR="00500A32" w:rsidRDefault="008A0E65" w:rsidP="00500A32">
      <w:pPr>
        <w:pStyle w:val="Heading4"/>
      </w:pPr>
      <w:r>
        <w:t>Capital reserves</w:t>
      </w:r>
    </w:p>
    <w:p w14:paraId="7AE35C95" w14:textId="71872DE9" w:rsidR="00B244DC" w:rsidRDefault="00B244DC" w:rsidP="00B80227">
      <w:pPr>
        <w:jc w:val="both"/>
      </w:pPr>
      <w:r w:rsidRPr="006230AA">
        <w:t>This reserve represents the loans of £376.1</w:t>
      </w:r>
      <w:r w:rsidR="00B80227">
        <w:t xml:space="preserve"> </w:t>
      </w:r>
      <w:r w:rsidRPr="006230AA">
        <w:t>m</w:t>
      </w:r>
      <w:r w:rsidR="00B80227">
        <w:t>illion</w:t>
      </w:r>
      <w:r w:rsidRPr="006230AA">
        <w:t xml:space="preserve"> due to the former ultimate parent undertaking</w:t>
      </w:r>
      <w:r w:rsidR="006230AA" w:rsidRPr="006230AA">
        <w:t>s</w:t>
      </w:r>
      <w:r w:rsidRPr="006230AA">
        <w:t xml:space="preserve"> and management that were forgiven by those counterparties as part of the reorganisation of the Group prior to the </w:t>
      </w:r>
      <w:r w:rsidR="006230AA">
        <w:t>IPO in</w:t>
      </w:r>
      <w:r w:rsidRPr="006230AA">
        <w:t xml:space="preserve"> 2014.</w:t>
      </w:r>
    </w:p>
    <w:p w14:paraId="4B971B30" w14:textId="668719BC" w:rsidR="00E320BA" w:rsidRDefault="00E320BA" w:rsidP="00E320BA">
      <w:pPr>
        <w:pStyle w:val="Heading4"/>
      </w:pPr>
      <w:r>
        <w:t>Treasury share reserves</w:t>
      </w:r>
    </w:p>
    <w:p w14:paraId="31512669" w14:textId="38C7FA40" w:rsidR="00E320BA" w:rsidRDefault="00E320BA" w:rsidP="00E320BA">
      <w:pPr>
        <w:jc w:val="both"/>
      </w:pPr>
      <w:r>
        <w:t>Equiniti Trust (Jersey) Limited is acting in its capacity as trustee of the Company’s Employee Benefit Trust (‘EBT’). The purpose of the EBT is to further the interests of the Company by benefiting employees and former employees of the Group and certain of their depend</w:t>
      </w:r>
      <w:r w:rsidR="00744656">
        <w:t>a</w:t>
      </w:r>
      <w:r>
        <w:t>nts</w:t>
      </w:r>
      <w:r w:rsidR="00892439">
        <w:t>. The EBT is treated as an extension of the Group and the Company</w:t>
      </w:r>
      <w:r>
        <w:t xml:space="preserve">. </w:t>
      </w:r>
    </w:p>
    <w:p w14:paraId="113B492A" w14:textId="7EFA77A8" w:rsidR="00E320BA" w:rsidRDefault="00E320BA" w:rsidP="00E320BA">
      <w:pPr>
        <w:jc w:val="both"/>
      </w:pPr>
      <w:r>
        <w:t xml:space="preserve">Where the EBT purchases the Company’s equity share capital (treasury shares) the consideration paid, including any directly attributable incremental costs, is deducted from equity attributable to the Company’s equity </w:t>
      </w:r>
      <w:r w:rsidRPr="00B4109F">
        <w:t>holders until the shares are cancelled or reissued. As at 3</w:t>
      </w:r>
      <w:r>
        <w:t xml:space="preserve">1 December </w:t>
      </w:r>
      <w:r w:rsidRPr="00B4109F">
        <w:t>2015 1,692,242 shares (2014: nil) were</w:t>
      </w:r>
      <w:r>
        <w:t xml:space="preserve"> held by the EBT in relation to the Direct</w:t>
      </w:r>
      <w:r w:rsidR="00744656">
        <w:t>ors’ share bonus award and long-</w:t>
      </w:r>
      <w:r>
        <w:t>term incentive plan.</w:t>
      </w:r>
    </w:p>
    <w:p w14:paraId="2A727A85" w14:textId="77777777" w:rsidR="00E320BA" w:rsidRDefault="00E320BA" w:rsidP="00E320BA">
      <w:pPr>
        <w:jc w:val="both"/>
      </w:pPr>
      <w:r>
        <w:t xml:space="preserve">The treasury share reserve represents the consideration paid when the EBT purchases the Company’s equity share capital, until </w:t>
      </w:r>
      <w:r w:rsidRPr="00E56251">
        <w:t xml:space="preserve">the shares are reissued. </w:t>
      </w:r>
    </w:p>
    <w:p w14:paraId="49A45B0E" w14:textId="098BCF0F" w:rsidR="00004F63" w:rsidRPr="00066035" w:rsidRDefault="00356462" w:rsidP="00364452">
      <w:pPr>
        <w:pStyle w:val="Heading3"/>
      </w:pPr>
      <w:r>
        <w:lastRenderedPageBreak/>
        <w:t>20</w:t>
      </w:r>
      <w:r w:rsidR="00364452">
        <w:t xml:space="preserve">. </w:t>
      </w:r>
      <w:r w:rsidR="00004F63" w:rsidRPr="00066035">
        <w:t>Share-based payments</w:t>
      </w:r>
    </w:p>
    <w:p w14:paraId="41460AEB" w14:textId="2A7FA629" w:rsidR="00004F63" w:rsidRPr="00066035" w:rsidRDefault="00004F63" w:rsidP="000B42F0">
      <w:pPr>
        <w:jc w:val="both"/>
      </w:pPr>
      <w:r w:rsidRPr="00066035">
        <w:t xml:space="preserve">The Group operates a number of share-based payment schemes for </w:t>
      </w:r>
      <w:r w:rsidR="00892439">
        <w:t>E</w:t>
      </w:r>
      <w:r w:rsidRPr="00066035">
        <w:t xml:space="preserve">xecutive </w:t>
      </w:r>
      <w:r w:rsidR="00892439">
        <w:t>D</w:t>
      </w:r>
      <w:r w:rsidRPr="00066035">
        <w:t xml:space="preserve">irectors and other employees, all of which are equity settled. The Group has no legal or constructive obligation to repurchase or settle any of the options in cash. The total cost recognised in the income statement was </w:t>
      </w:r>
      <w:r w:rsidR="000B42F0" w:rsidRPr="00066035">
        <w:t>£</w:t>
      </w:r>
      <w:r w:rsidR="00892439">
        <w:t>0.7</w:t>
      </w:r>
      <w:r w:rsidR="000B42F0" w:rsidRPr="00066035">
        <w:t xml:space="preserve"> </w:t>
      </w:r>
      <w:r w:rsidRPr="00066035">
        <w:t>million in the year ended 31 December 201</w:t>
      </w:r>
      <w:r w:rsidR="000B42F0">
        <w:t>5</w:t>
      </w:r>
      <w:r w:rsidRPr="00066035">
        <w:t xml:space="preserve"> (201</w:t>
      </w:r>
      <w:r w:rsidR="000B42F0">
        <w:t>4</w:t>
      </w:r>
      <w:r w:rsidRPr="00066035">
        <w:t xml:space="preserve">: </w:t>
      </w:r>
      <w:r w:rsidR="000B42F0" w:rsidRPr="00066035">
        <w:t>£2.8 million</w:t>
      </w:r>
      <w:r w:rsidRPr="00066035">
        <w:t>). Employer’s NI is being accrued, where applicable, at the rate of 13.8%</w:t>
      </w:r>
      <w:r w:rsidR="00696C99">
        <w:t>,</w:t>
      </w:r>
      <w:r w:rsidRPr="00066035">
        <w:t xml:space="preserve"> which management expects to be the prevailing rate at the time the options are exercised, based on the share price at the reporting date. The total NI charge for the year was £</w:t>
      </w:r>
      <w:r w:rsidR="00892439">
        <w:t>0.1</w:t>
      </w:r>
      <w:r w:rsidR="0041337C">
        <w:t xml:space="preserve"> </w:t>
      </w:r>
      <w:r w:rsidR="0041337C" w:rsidRPr="00066035">
        <w:t>million</w:t>
      </w:r>
      <w:r w:rsidR="000B42F0">
        <w:t xml:space="preserve"> (2014</w:t>
      </w:r>
      <w:r w:rsidRPr="00066035">
        <w:t>: £</w:t>
      </w:r>
      <w:r w:rsidR="000B42F0">
        <w:t>0.9 million</w:t>
      </w:r>
      <w:r w:rsidRPr="00066035">
        <w:t>).</w:t>
      </w:r>
    </w:p>
    <w:p w14:paraId="371DA340" w14:textId="77777777" w:rsidR="00004F63" w:rsidRDefault="00004F63" w:rsidP="000B42F0">
      <w:pPr>
        <w:jc w:val="both"/>
      </w:pPr>
      <w:r w:rsidRPr="00066035">
        <w:t>The following table analyses the total cost between each of the relevant schemes, together with the number of options outstanding:</w:t>
      </w:r>
    </w:p>
    <w:tbl>
      <w:tblPr>
        <w:tblW w:w="9072" w:type="dxa"/>
        <w:tblLayout w:type="fixed"/>
        <w:tblCellMar>
          <w:left w:w="0" w:type="dxa"/>
          <w:right w:w="57" w:type="dxa"/>
        </w:tblCellMar>
        <w:tblLook w:val="0000" w:firstRow="0" w:lastRow="0" w:firstColumn="0" w:lastColumn="0" w:noHBand="0" w:noVBand="0"/>
      </w:tblPr>
      <w:tblGrid>
        <w:gridCol w:w="4040"/>
        <w:gridCol w:w="1258"/>
        <w:gridCol w:w="1258"/>
        <w:gridCol w:w="1258"/>
        <w:gridCol w:w="1258"/>
      </w:tblGrid>
      <w:tr w:rsidR="00525217" w:rsidRPr="00066035" w14:paraId="149D28F9" w14:textId="77777777" w:rsidTr="0012588B">
        <w:tc>
          <w:tcPr>
            <w:tcW w:w="4040" w:type="dxa"/>
            <w:vAlign w:val="bottom"/>
          </w:tcPr>
          <w:p w14:paraId="47EC5583" w14:textId="4EFDB5D8" w:rsidR="00525217" w:rsidRPr="00520CBD" w:rsidRDefault="00525217" w:rsidP="0012588B">
            <w:pPr>
              <w:pStyle w:val="Tableheading"/>
            </w:pPr>
          </w:p>
        </w:tc>
        <w:tc>
          <w:tcPr>
            <w:tcW w:w="2516" w:type="dxa"/>
            <w:gridSpan w:val="2"/>
            <w:vAlign w:val="bottom"/>
          </w:tcPr>
          <w:p w14:paraId="50996D10" w14:textId="77777777" w:rsidR="00525217" w:rsidRPr="00520CBD" w:rsidRDefault="00525217" w:rsidP="0012588B">
            <w:pPr>
              <w:pStyle w:val="Tableheading"/>
              <w:jc w:val="center"/>
              <w:rPr>
                <w:b/>
              </w:rPr>
            </w:pPr>
            <w:r w:rsidRPr="00520CBD">
              <w:rPr>
                <w:b/>
              </w:rPr>
              <w:t>201</w:t>
            </w:r>
            <w:r>
              <w:rPr>
                <w:b/>
              </w:rPr>
              <w:t>5</w:t>
            </w:r>
          </w:p>
        </w:tc>
        <w:tc>
          <w:tcPr>
            <w:tcW w:w="2516" w:type="dxa"/>
            <w:gridSpan w:val="2"/>
            <w:vAlign w:val="bottom"/>
          </w:tcPr>
          <w:p w14:paraId="28F9DCED" w14:textId="77777777" w:rsidR="00525217" w:rsidRPr="00520CBD" w:rsidRDefault="00525217" w:rsidP="0012588B">
            <w:pPr>
              <w:pStyle w:val="Tableheading"/>
              <w:jc w:val="center"/>
            </w:pPr>
            <w:r w:rsidRPr="00520CBD">
              <w:t>201</w:t>
            </w:r>
            <w:r>
              <w:t>4</w:t>
            </w:r>
          </w:p>
        </w:tc>
      </w:tr>
      <w:tr w:rsidR="00525217" w:rsidRPr="00066035" w14:paraId="0ADAB6D2" w14:textId="77777777" w:rsidTr="0012588B">
        <w:tc>
          <w:tcPr>
            <w:tcW w:w="4040" w:type="dxa"/>
            <w:tcBorders>
              <w:bottom w:val="single" w:sz="4" w:space="0" w:color="93B7BB"/>
            </w:tcBorders>
            <w:vAlign w:val="bottom"/>
          </w:tcPr>
          <w:p w14:paraId="6C3986C3" w14:textId="7635FA58" w:rsidR="00525217" w:rsidRPr="00520CBD" w:rsidRDefault="00525217" w:rsidP="0012588B">
            <w:pPr>
              <w:pStyle w:val="Tableheading"/>
            </w:pPr>
            <w:r w:rsidRPr="00520CBD">
              <w:t>(£ million)</w:t>
            </w:r>
          </w:p>
        </w:tc>
        <w:tc>
          <w:tcPr>
            <w:tcW w:w="1258" w:type="dxa"/>
            <w:tcBorders>
              <w:bottom w:val="single" w:sz="4" w:space="0" w:color="93B7BB"/>
            </w:tcBorders>
            <w:shd w:val="clear" w:color="auto" w:fill="auto"/>
            <w:vAlign w:val="bottom"/>
          </w:tcPr>
          <w:p w14:paraId="75F3CA6B" w14:textId="68AE1F45" w:rsidR="00525217" w:rsidRPr="00520CBD" w:rsidRDefault="00525217" w:rsidP="0012588B">
            <w:pPr>
              <w:pStyle w:val="Tableheading"/>
              <w:jc w:val="right"/>
              <w:rPr>
                <w:b/>
              </w:rPr>
            </w:pPr>
            <w:r w:rsidRPr="00DD1EC0">
              <w:rPr>
                <w:b/>
              </w:rPr>
              <w:t>Charge £m</w:t>
            </w:r>
          </w:p>
        </w:tc>
        <w:tc>
          <w:tcPr>
            <w:tcW w:w="1258" w:type="dxa"/>
            <w:tcBorders>
              <w:bottom w:val="single" w:sz="4" w:space="0" w:color="93B7BB"/>
            </w:tcBorders>
            <w:shd w:val="clear" w:color="auto" w:fill="auto"/>
            <w:vAlign w:val="bottom"/>
          </w:tcPr>
          <w:p w14:paraId="24A95426" w14:textId="455A9A2A" w:rsidR="00525217" w:rsidRPr="00520CBD" w:rsidRDefault="00525217" w:rsidP="0012588B">
            <w:pPr>
              <w:pStyle w:val="Tableheading"/>
              <w:jc w:val="right"/>
              <w:rPr>
                <w:b/>
              </w:rPr>
            </w:pPr>
            <w:r w:rsidRPr="00DD1EC0">
              <w:rPr>
                <w:b/>
              </w:rPr>
              <w:t>Number of options (thousands)</w:t>
            </w:r>
          </w:p>
        </w:tc>
        <w:tc>
          <w:tcPr>
            <w:tcW w:w="1258" w:type="dxa"/>
            <w:tcBorders>
              <w:bottom w:val="single" w:sz="4" w:space="0" w:color="93B7BB"/>
            </w:tcBorders>
            <w:vAlign w:val="bottom"/>
          </w:tcPr>
          <w:p w14:paraId="0F0DF13A" w14:textId="06E1E58D" w:rsidR="00525217" w:rsidRPr="00520CBD" w:rsidRDefault="00525217" w:rsidP="0012588B">
            <w:pPr>
              <w:pStyle w:val="Tableheading"/>
              <w:jc w:val="right"/>
            </w:pPr>
            <w:r w:rsidRPr="00387204">
              <w:t>Charge £m</w:t>
            </w:r>
          </w:p>
        </w:tc>
        <w:tc>
          <w:tcPr>
            <w:tcW w:w="1258" w:type="dxa"/>
            <w:tcBorders>
              <w:bottom w:val="single" w:sz="4" w:space="0" w:color="93B7BB"/>
            </w:tcBorders>
            <w:vAlign w:val="bottom"/>
          </w:tcPr>
          <w:p w14:paraId="7495F8C9" w14:textId="278DD5C6" w:rsidR="00525217" w:rsidRDefault="00525217" w:rsidP="0012588B">
            <w:pPr>
              <w:pStyle w:val="Tableheading"/>
              <w:jc w:val="right"/>
            </w:pPr>
            <w:r w:rsidRPr="00387204">
              <w:t>Number of</w:t>
            </w:r>
          </w:p>
          <w:p w14:paraId="24EBF31F" w14:textId="3876259D" w:rsidR="00525217" w:rsidRPr="00520CBD" w:rsidRDefault="00525217" w:rsidP="0012588B">
            <w:pPr>
              <w:pStyle w:val="Tableheading"/>
              <w:jc w:val="right"/>
            </w:pPr>
            <w:r w:rsidRPr="00387204">
              <w:t>options (thousands)</w:t>
            </w:r>
          </w:p>
        </w:tc>
      </w:tr>
      <w:tr w:rsidR="00525217" w:rsidRPr="00066035" w14:paraId="0B1E616E" w14:textId="77777777" w:rsidTr="0012588B">
        <w:tc>
          <w:tcPr>
            <w:tcW w:w="4040" w:type="dxa"/>
            <w:tcBorders>
              <w:top w:val="single" w:sz="4" w:space="0" w:color="93B7BB"/>
            </w:tcBorders>
            <w:vAlign w:val="bottom"/>
          </w:tcPr>
          <w:p w14:paraId="03A43F81" w14:textId="75C5C3D2" w:rsidR="00525217" w:rsidRPr="00520CBD" w:rsidRDefault="00525217" w:rsidP="009D4898">
            <w:pPr>
              <w:pStyle w:val="Tabletext"/>
            </w:pPr>
            <w:r w:rsidRPr="00066035">
              <w:t xml:space="preserve">Directors’ </w:t>
            </w:r>
            <w:r w:rsidR="009D4898">
              <w:t>S</w:t>
            </w:r>
            <w:r w:rsidRPr="00066035">
              <w:t xml:space="preserve">hare </w:t>
            </w:r>
            <w:r w:rsidR="009D4898">
              <w:t>B</w:t>
            </w:r>
            <w:r w:rsidRPr="00066035">
              <w:t xml:space="preserve">onus </w:t>
            </w:r>
            <w:r w:rsidR="009D4898">
              <w:t>A</w:t>
            </w:r>
            <w:r w:rsidRPr="00066035">
              <w:t>ward*</w:t>
            </w:r>
          </w:p>
        </w:tc>
        <w:tc>
          <w:tcPr>
            <w:tcW w:w="1258" w:type="dxa"/>
            <w:tcBorders>
              <w:top w:val="single" w:sz="4" w:space="0" w:color="93B7BB"/>
            </w:tcBorders>
            <w:shd w:val="clear" w:color="auto" w:fill="EFF4F5"/>
            <w:vAlign w:val="bottom"/>
          </w:tcPr>
          <w:p w14:paraId="4F24E798" w14:textId="20B43914" w:rsidR="00525217" w:rsidRPr="00892439" w:rsidRDefault="00892439" w:rsidP="0012588B">
            <w:pPr>
              <w:pStyle w:val="Tabletext"/>
              <w:jc w:val="right"/>
              <w:rPr>
                <w:b/>
              </w:rPr>
            </w:pPr>
            <w:r w:rsidRPr="00892439">
              <w:rPr>
                <w:b/>
              </w:rPr>
              <w:t>–</w:t>
            </w:r>
          </w:p>
        </w:tc>
        <w:tc>
          <w:tcPr>
            <w:tcW w:w="1258" w:type="dxa"/>
            <w:tcBorders>
              <w:top w:val="single" w:sz="4" w:space="0" w:color="93B7BB"/>
            </w:tcBorders>
            <w:shd w:val="clear" w:color="auto" w:fill="EFF4F5"/>
            <w:vAlign w:val="bottom"/>
          </w:tcPr>
          <w:p w14:paraId="55D580BE" w14:textId="3CFE72C2" w:rsidR="00525217" w:rsidRPr="00892439" w:rsidRDefault="00892439" w:rsidP="0012588B">
            <w:pPr>
              <w:pStyle w:val="Tabletext"/>
              <w:jc w:val="right"/>
              <w:rPr>
                <w:b/>
              </w:rPr>
            </w:pPr>
            <w:r w:rsidRPr="00892439">
              <w:rPr>
                <w:b/>
              </w:rPr>
              <w:t>–</w:t>
            </w:r>
          </w:p>
        </w:tc>
        <w:tc>
          <w:tcPr>
            <w:tcW w:w="1258" w:type="dxa"/>
            <w:tcBorders>
              <w:top w:val="single" w:sz="4" w:space="0" w:color="93B7BB"/>
            </w:tcBorders>
            <w:vAlign w:val="bottom"/>
          </w:tcPr>
          <w:p w14:paraId="7AB8E0A5" w14:textId="5664EF21" w:rsidR="00525217" w:rsidRPr="004A4EB9" w:rsidRDefault="00525217" w:rsidP="0012588B">
            <w:pPr>
              <w:pStyle w:val="Tabletext"/>
              <w:jc w:val="right"/>
              <w:rPr>
                <w:highlight w:val="yellow"/>
              </w:rPr>
            </w:pPr>
            <w:r w:rsidRPr="00387204">
              <w:t>2.5</w:t>
            </w:r>
          </w:p>
        </w:tc>
        <w:tc>
          <w:tcPr>
            <w:tcW w:w="1258" w:type="dxa"/>
            <w:tcBorders>
              <w:top w:val="single" w:sz="4" w:space="0" w:color="93B7BB"/>
            </w:tcBorders>
            <w:vAlign w:val="bottom"/>
          </w:tcPr>
          <w:p w14:paraId="218F222A" w14:textId="42AE17B3" w:rsidR="00525217" w:rsidRPr="004A4EB9" w:rsidRDefault="00525217" w:rsidP="0012588B">
            <w:pPr>
              <w:pStyle w:val="Tabletext"/>
              <w:jc w:val="right"/>
              <w:rPr>
                <w:highlight w:val="yellow"/>
              </w:rPr>
            </w:pPr>
            <w:r w:rsidRPr="00387204">
              <w:t>1,671</w:t>
            </w:r>
          </w:p>
        </w:tc>
      </w:tr>
      <w:tr w:rsidR="00525217" w:rsidRPr="00066035" w14:paraId="18F58487" w14:textId="77777777" w:rsidTr="0012588B">
        <w:tc>
          <w:tcPr>
            <w:tcW w:w="4040" w:type="dxa"/>
            <w:vAlign w:val="bottom"/>
          </w:tcPr>
          <w:p w14:paraId="278C66F8" w14:textId="2E21E0DD" w:rsidR="00525217" w:rsidRPr="00520CBD" w:rsidRDefault="00525217" w:rsidP="009D4898">
            <w:pPr>
              <w:pStyle w:val="Tabletext"/>
            </w:pPr>
            <w:r w:rsidRPr="00066035">
              <w:t xml:space="preserve">Long </w:t>
            </w:r>
            <w:r w:rsidR="009D4898">
              <w:t>T</w:t>
            </w:r>
            <w:r w:rsidRPr="00066035">
              <w:t xml:space="preserve">erm </w:t>
            </w:r>
            <w:r w:rsidR="009D4898">
              <w:t>I</w:t>
            </w:r>
            <w:r w:rsidRPr="00066035">
              <w:t xml:space="preserve">ncentive </w:t>
            </w:r>
            <w:r w:rsidR="009D4898">
              <w:t>P</w:t>
            </w:r>
            <w:r w:rsidRPr="00066035">
              <w:t>lan</w:t>
            </w:r>
          </w:p>
        </w:tc>
        <w:tc>
          <w:tcPr>
            <w:tcW w:w="1258" w:type="dxa"/>
            <w:shd w:val="clear" w:color="auto" w:fill="EFF4F5"/>
            <w:vAlign w:val="bottom"/>
          </w:tcPr>
          <w:p w14:paraId="5056FFCD" w14:textId="088542B0" w:rsidR="00525217" w:rsidRPr="00520CBD" w:rsidRDefault="00892439" w:rsidP="0012588B">
            <w:pPr>
              <w:pStyle w:val="Tabletext"/>
              <w:jc w:val="right"/>
              <w:rPr>
                <w:b/>
              </w:rPr>
            </w:pPr>
            <w:r>
              <w:rPr>
                <w:b/>
              </w:rPr>
              <w:t>0.7</w:t>
            </w:r>
          </w:p>
        </w:tc>
        <w:tc>
          <w:tcPr>
            <w:tcW w:w="1258" w:type="dxa"/>
            <w:shd w:val="clear" w:color="auto" w:fill="EFF4F5"/>
            <w:vAlign w:val="bottom"/>
          </w:tcPr>
          <w:p w14:paraId="34A02ECB" w14:textId="1D99EDD1" w:rsidR="00525217" w:rsidRPr="00761119" w:rsidRDefault="00DA6771" w:rsidP="0012588B">
            <w:pPr>
              <w:pStyle w:val="Tabletext"/>
              <w:jc w:val="right"/>
              <w:rPr>
                <w:b/>
                <w:sz w:val="16"/>
                <w:szCs w:val="16"/>
              </w:rPr>
            </w:pPr>
            <w:r>
              <w:rPr>
                <w:b/>
                <w:sz w:val="16"/>
                <w:szCs w:val="16"/>
              </w:rPr>
              <w:t>944</w:t>
            </w:r>
          </w:p>
        </w:tc>
        <w:tc>
          <w:tcPr>
            <w:tcW w:w="1258" w:type="dxa"/>
            <w:vAlign w:val="bottom"/>
          </w:tcPr>
          <w:p w14:paraId="002FFAFD" w14:textId="68518FBB" w:rsidR="00525217" w:rsidRPr="004A4EB9" w:rsidRDefault="00525217" w:rsidP="0012588B">
            <w:pPr>
              <w:pStyle w:val="Tabletext"/>
              <w:jc w:val="right"/>
              <w:rPr>
                <w:highlight w:val="yellow"/>
              </w:rPr>
            </w:pPr>
            <w:r w:rsidRPr="00387204">
              <w:t>0.3</w:t>
            </w:r>
          </w:p>
        </w:tc>
        <w:tc>
          <w:tcPr>
            <w:tcW w:w="1258" w:type="dxa"/>
            <w:vAlign w:val="bottom"/>
          </w:tcPr>
          <w:p w14:paraId="4BBC7C33" w14:textId="5BE76E83" w:rsidR="00525217" w:rsidRPr="004A4EB9" w:rsidRDefault="00525217" w:rsidP="0012588B">
            <w:pPr>
              <w:pStyle w:val="Tabletext"/>
              <w:jc w:val="right"/>
              <w:rPr>
                <w:highlight w:val="yellow"/>
              </w:rPr>
            </w:pPr>
            <w:r w:rsidRPr="00387204">
              <w:t>1,063</w:t>
            </w:r>
          </w:p>
        </w:tc>
      </w:tr>
      <w:tr w:rsidR="00525217" w:rsidRPr="00066035" w14:paraId="336F8D6A" w14:textId="77777777" w:rsidTr="0012588B">
        <w:tc>
          <w:tcPr>
            <w:tcW w:w="4040" w:type="dxa"/>
            <w:tcBorders>
              <w:bottom w:val="single" w:sz="4" w:space="0" w:color="93B7BB"/>
            </w:tcBorders>
            <w:vAlign w:val="bottom"/>
          </w:tcPr>
          <w:p w14:paraId="1DE9E24C" w14:textId="279D65A1" w:rsidR="00525217" w:rsidRPr="00520CBD" w:rsidRDefault="00525217" w:rsidP="009D4898">
            <w:pPr>
              <w:pStyle w:val="Tabletext"/>
            </w:pPr>
            <w:r w:rsidRPr="00066035">
              <w:t xml:space="preserve">Deferred </w:t>
            </w:r>
            <w:r w:rsidR="009D4898">
              <w:t>B</w:t>
            </w:r>
            <w:r w:rsidRPr="00066035">
              <w:t xml:space="preserve">onus </w:t>
            </w:r>
            <w:r w:rsidR="009D4898">
              <w:t>P</w:t>
            </w:r>
            <w:r w:rsidRPr="00066035">
              <w:t>lan</w:t>
            </w:r>
          </w:p>
        </w:tc>
        <w:tc>
          <w:tcPr>
            <w:tcW w:w="1258" w:type="dxa"/>
            <w:tcBorders>
              <w:bottom w:val="single" w:sz="4" w:space="0" w:color="93B7BB"/>
            </w:tcBorders>
            <w:shd w:val="clear" w:color="auto" w:fill="EFF4F5"/>
            <w:vAlign w:val="bottom"/>
          </w:tcPr>
          <w:p w14:paraId="309B3A61" w14:textId="3C3844A6" w:rsidR="00525217" w:rsidRPr="00520CBD" w:rsidRDefault="00DA6771" w:rsidP="0012588B">
            <w:pPr>
              <w:pStyle w:val="Tabletext"/>
              <w:jc w:val="right"/>
              <w:rPr>
                <w:b/>
              </w:rPr>
            </w:pPr>
            <w:r w:rsidRPr="00892439">
              <w:rPr>
                <w:b/>
              </w:rPr>
              <w:t>–</w:t>
            </w:r>
          </w:p>
        </w:tc>
        <w:tc>
          <w:tcPr>
            <w:tcW w:w="1258" w:type="dxa"/>
            <w:tcBorders>
              <w:bottom w:val="single" w:sz="4" w:space="0" w:color="93B7BB"/>
            </w:tcBorders>
            <w:shd w:val="clear" w:color="auto" w:fill="EFF4F5"/>
            <w:vAlign w:val="bottom"/>
          </w:tcPr>
          <w:p w14:paraId="4E1B5AA1" w14:textId="715D5D0A" w:rsidR="00525217" w:rsidRPr="00520CBD" w:rsidRDefault="00DA6771" w:rsidP="0012588B">
            <w:pPr>
              <w:pStyle w:val="Tabletext"/>
              <w:jc w:val="right"/>
              <w:rPr>
                <w:b/>
              </w:rPr>
            </w:pPr>
            <w:r>
              <w:rPr>
                <w:b/>
              </w:rPr>
              <w:t>29</w:t>
            </w:r>
          </w:p>
        </w:tc>
        <w:tc>
          <w:tcPr>
            <w:tcW w:w="1258" w:type="dxa"/>
            <w:tcBorders>
              <w:bottom w:val="single" w:sz="4" w:space="0" w:color="93B7BB"/>
            </w:tcBorders>
            <w:vAlign w:val="bottom"/>
          </w:tcPr>
          <w:p w14:paraId="0A709F98" w14:textId="5FF1D0CD" w:rsidR="00525217" w:rsidRPr="004A4EB9" w:rsidRDefault="00525217" w:rsidP="0012588B">
            <w:pPr>
              <w:pStyle w:val="Tabletext"/>
              <w:jc w:val="right"/>
              <w:rPr>
                <w:highlight w:val="yellow"/>
              </w:rPr>
            </w:pPr>
            <w:r w:rsidRPr="00387204">
              <w:t>–</w:t>
            </w:r>
          </w:p>
        </w:tc>
        <w:tc>
          <w:tcPr>
            <w:tcW w:w="1258" w:type="dxa"/>
            <w:tcBorders>
              <w:bottom w:val="single" w:sz="4" w:space="0" w:color="93B7BB"/>
            </w:tcBorders>
            <w:vAlign w:val="bottom"/>
          </w:tcPr>
          <w:p w14:paraId="1DA73A2D" w14:textId="01C2322A" w:rsidR="00525217" w:rsidRPr="004A4EB9" w:rsidRDefault="00525217" w:rsidP="0012588B">
            <w:pPr>
              <w:pStyle w:val="Tabletext"/>
              <w:jc w:val="right"/>
              <w:rPr>
                <w:highlight w:val="yellow"/>
              </w:rPr>
            </w:pPr>
            <w:r w:rsidRPr="00387204">
              <w:t>–</w:t>
            </w:r>
          </w:p>
        </w:tc>
      </w:tr>
      <w:tr w:rsidR="00525217" w:rsidRPr="00066035" w14:paraId="42B7CC84" w14:textId="77777777" w:rsidTr="0012588B">
        <w:tc>
          <w:tcPr>
            <w:tcW w:w="4040" w:type="dxa"/>
            <w:tcBorders>
              <w:top w:val="single" w:sz="4" w:space="0" w:color="93B7BB"/>
              <w:bottom w:val="single" w:sz="4" w:space="0" w:color="93B7BB"/>
            </w:tcBorders>
            <w:vAlign w:val="bottom"/>
          </w:tcPr>
          <w:p w14:paraId="797DD595" w14:textId="6B58075C" w:rsidR="00525217" w:rsidRPr="00520CBD" w:rsidRDefault="00525217" w:rsidP="0012588B">
            <w:pPr>
              <w:pStyle w:val="Tabletext"/>
              <w:rPr>
                <w:b/>
              </w:rPr>
            </w:pPr>
          </w:p>
        </w:tc>
        <w:tc>
          <w:tcPr>
            <w:tcW w:w="1258" w:type="dxa"/>
            <w:tcBorders>
              <w:top w:val="single" w:sz="4" w:space="0" w:color="93B7BB"/>
              <w:bottom w:val="single" w:sz="4" w:space="0" w:color="93B7BB"/>
            </w:tcBorders>
            <w:shd w:val="clear" w:color="auto" w:fill="EFF4F5"/>
            <w:vAlign w:val="bottom"/>
          </w:tcPr>
          <w:p w14:paraId="6B77A286" w14:textId="55AE6F31" w:rsidR="00525217" w:rsidRPr="00520CBD" w:rsidRDefault="00DA6771" w:rsidP="0012588B">
            <w:pPr>
              <w:pStyle w:val="Tabletext"/>
              <w:jc w:val="right"/>
              <w:rPr>
                <w:b/>
              </w:rPr>
            </w:pPr>
            <w:r>
              <w:rPr>
                <w:b/>
              </w:rPr>
              <w:t>0.7</w:t>
            </w:r>
          </w:p>
        </w:tc>
        <w:tc>
          <w:tcPr>
            <w:tcW w:w="1258" w:type="dxa"/>
            <w:tcBorders>
              <w:top w:val="single" w:sz="4" w:space="0" w:color="93B7BB"/>
              <w:bottom w:val="single" w:sz="4" w:space="0" w:color="93B7BB"/>
            </w:tcBorders>
            <w:shd w:val="clear" w:color="auto" w:fill="EFF4F5"/>
            <w:vAlign w:val="bottom"/>
          </w:tcPr>
          <w:p w14:paraId="67A2D002" w14:textId="25C7405F" w:rsidR="00525217" w:rsidRPr="00520CBD" w:rsidRDefault="00DA6771" w:rsidP="0012588B">
            <w:pPr>
              <w:pStyle w:val="Tabletext"/>
              <w:jc w:val="right"/>
              <w:rPr>
                <w:b/>
              </w:rPr>
            </w:pPr>
            <w:r>
              <w:rPr>
                <w:b/>
              </w:rPr>
              <w:t>973</w:t>
            </w:r>
          </w:p>
        </w:tc>
        <w:tc>
          <w:tcPr>
            <w:tcW w:w="1258" w:type="dxa"/>
            <w:tcBorders>
              <w:top w:val="single" w:sz="4" w:space="0" w:color="93B7BB"/>
              <w:bottom w:val="single" w:sz="4" w:space="0" w:color="93B7BB"/>
            </w:tcBorders>
            <w:vAlign w:val="bottom"/>
          </w:tcPr>
          <w:p w14:paraId="6C12DB21" w14:textId="6BEAE72C" w:rsidR="00525217" w:rsidRPr="00520CBD" w:rsidRDefault="00525217" w:rsidP="0012588B">
            <w:pPr>
              <w:pStyle w:val="Tabletext"/>
              <w:jc w:val="right"/>
              <w:rPr>
                <w:b/>
              </w:rPr>
            </w:pPr>
            <w:r w:rsidRPr="00387204">
              <w:t>2.8</w:t>
            </w:r>
          </w:p>
        </w:tc>
        <w:tc>
          <w:tcPr>
            <w:tcW w:w="1258" w:type="dxa"/>
            <w:tcBorders>
              <w:top w:val="single" w:sz="4" w:space="0" w:color="93B7BB"/>
              <w:bottom w:val="single" w:sz="4" w:space="0" w:color="93B7BB"/>
            </w:tcBorders>
            <w:vAlign w:val="bottom"/>
          </w:tcPr>
          <w:p w14:paraId="2A6D6B3D" w14:textId="58E52F64" w:rsidR="00525217" w:rsidRPr="00520CBD" w:rsidRDefault="00525217" w:rsidP="0012588B">
            <w:pPr>
              <w:pStyle w:val="Tabletext"/>
              <w:jc w:val="right"/>
              <w:rPr>
                <w:b/>
              </w:rPr>
            </w:pPr>
            <w:r w:rsidRPr="00387204">
              <w:t>2,734</w:t>
            </w:r>
          </w:p>
        </w:tc>
      </w:tr>
    </w:tbl>
    <w:p w14:paraId="34864340" w14:textId="3F809610" w:rsidR="00525217" w:rsidRDefault="00525217" w:rsidP="00525217">
      <w:pPr>
        <w:pStyle w:val="Footnote"/>
      </w:pPr>
      <w:r>
        <w:t xml:space="preserve">* </w:t>
      </w:r>
      <w:proofErr w:type="gramStart"/>
      <w:r>
        <w:t>disclosed</w:t>
      </w:r>
      <w:proofErr w:type="gramEnd"/>
      <w:r>
        <w:t xml:space="preserve"> as an exceptional item</w:t>
      </w:r>
      <w:r w:rsidR="00097F38">
        <w:t xml:space="preserve"> in 2014</w:t>
      </w:r>
      <w:r>
        <w:t xml:space="preserve"> – see note 7</w:t>
      </w:r>
    </w:p>
    <w:p w14:paraId="4D0B5C9A" w14:textId="77777777" w:rsidR="00525217" w:rsidRDefault="00525217" w:rsidP="00525217">
      <w:pPr>
        <w:pStyle w:val="Footnote"/>
      </w:pPr>
    </w:p>
    <w:p w14:paraId="6BDC4AD3" w14:textId="77777777" w:rsidR="00004F63" w:rsidRPr="00066035" w:rsidRDefault="00004F63" w:rsidP="00D94AEE">
      <w:r w:rsidRPr="00066035">
        <w:t>A summary of the main features of the scheme is shown below:</w:t>
      </w:r>
    </w:p>
    <w:p w14:paraId="7D2F70BE" w14:textId="28359D1C" w:rsidR="00004F63" w:rsidRPr="00066035" w:rsidRDefault="00004F63" w:rsidP="000B42F0">
      <w:pPr>
        <w:pStyle w:val="Heading4"/>
        <w:jc w:val="both"/>
      </w:pPr>
      <w:r w:rsidRPr="00066035">
        <w:t xml:space="preserve">Directors’ </w:t>
      </w:r>
      <w:r w:rsidR="00EB5420">
        <w:t>S</w:t>
      </w:r>
      <w:r w:rsidRPr="00066035">
        <w:t xml:space="preserve">hare </w:t>
      </w:r>
      <w:r w:rsidR="00EB5420">
        <w:t>B</w:t>
      </w:r>
      <w:r w:rsidRPr="00066035">
        <w:t xml:space="preserve">onus </w:t>
      </w:r>
      <w:r w:rsidR="00EB5420">
        <w:t>A</w:t>
      </w:r>
      <w:r w:rsidRPr="00066035">
        <w:t>ward</w:t>
      </w:r>
    </w:p>
    <w:p w14:paraId="20051F0A" w14:textId="0078C207" w:rsidR="00004F63" w:rsidRPr="00066035" w:rsidRDefault="00DA6771" w:rsidP="000B42F0">
      <w:pPr>
        <w:jc w:val="both"/>
      </w:pPr>
      <w:r w:rsidRPr="00A55949">
        <w:t>At</w:t>
      </w:r>
      <w:r>
        <w:t xml:space="preserve"> </w:t>
      </w:r>
      <w:r w:rsidRPr="00A55949">
        <w:t>the</w:t>
      </w:r>
      <w:r>
        <w:t xml:space="preserve"> </w:t>
      </w:r>
      <w:r w:rsidRPr="00A55949">
        <w:t>time</w:t>
      </w:r>
      <w:r>
        <w:t xml:space="preserve"> </w:t>
      </w:r>
      <w:r w:rsidRPr="00A55949">
        <w:t>of</w:t>
      </w:r>
      <w:r>
        <w:t xml:space="preserve"> </w:t>
      </w:r>
      <w:r w:rsidRPr="00A55949">
        <w:t>the</w:t>
      </w:r>
      <w:r>
        <w:t xml:space="preserve"> </w:t>
      </w:r>
      <w:r w:rsidRPr="00A55949">
        <w:t>IPO</w:t>
      </w:r>
      <w:r>
        <w:t xml:space="preserve"> </w:t>
      </w:r>
      <w:r w:rsidRPr="00A55949">
        <w:t>on</w:t>
      </w:r>
      <w:r>
        <w:t xml:space="preserve"> </w:t>
      </w:r>
      <w:r w:rsidRPr="00A55949">
        <w:t>23</w:t>
      </w:r>
      <w:r>
        <w:t xml:space="preserve"> </w:t>
      </w:r>
      <w:r w:rsidRPr="00A55949">
        <w:t>July</w:t>
      </w:r>
      <w:r>
        <w:t xml:space="preserve"> </w:t>
      </w:r>
      <w:r w:rsidRPr="00A55949">
        <w:t>2014,</w:t>
      </w:r>
      <w:r>
        <w:t xml:space="preserve"> </w:t>
      </w:r>
      <w:r w:rsidRPr="00A55949">
        <w:t>the</w:t>
      </w:r>
      <w:r>
        <w:t xml:space="preserve"> </w:t>
      </w:r>
      <w:r w:rsidRPr="00A55949">
        <w:t>Company</w:t>
      </w:r>
      <w:r>
        <w:t xml:space="preserve"> </w:t>
      </w:r>
      <w:r w:rsidRPr="00A55949">
        <w:t>granted</w:t>
      </w:r>
      <w:r>
        <w:t xml:space="preserve"> </w:t>
      </w:r>
      <w:r w:rsidRPr="00A55949">
        <w:t>nil</w:t>
      </w:r>
      <w:r>
        <w:t xml:space="preserve"> </w:t>
      </w:r>
      <w:r w:rsidRPr="00A55949">
        <w:t>cost</w:t>
      </w:r>
      <w:r>
        <w:t xml:space="preserve"> </w:t>
      </w:r>
      <w:r w:rsidRPr="00A55949">
        <w:t>share</w:t>
      </w:r>
      <w:r>
        <w:t xml:space="preserve"> </w:t>
      </w:r>
      <w:r w:rsidRPr="00A55949">
        <w:t>options</w:t>
      </w:r>
      <w:r>
        <w:t xml:space="preserve"> </w:t>
      </w:r>
      <w:r w:rsidRPr="00A55949">
        <w:t>to</w:t>
      </w:r>
      <w:r>
        <w:t xml:space="preserve"> E</w:t>
      </w:r>
      <w:r w:rsidRPr="00A55949">
        <w:t>xecutive</w:t>
      </w:r>
      <w:r>
        <w:t xml:space="preserve"> D</w:t>
      </w:r>
      <w:r w:rsidRPr="00A55949">
        <w:t>irectors</w:t>
      </w:r>
      <w:r>
        <w:t xml:space="preserve"> </w:t>
      </w:r>
      <w:r w:rsidRPr="00A55949">
        <w:t>to</w:t>
      </w:r>
      <w:r>
        <w:t xml:space="preserve"> </w:t>
      </w:r>
      <w:r w:rsidRPr="00A55949">
        <w:t>reflect</w:t>
      </w:r>
      <w:r>
        <w:t xml:space="preserve"> </w:t>
      </w:r>
      <w:r w:rsidRPr="00A55949">
        <w:t>their</w:t>
      </w:r>
      <w:r>
        <w:t xml:space="preserve"> </w:t>
      </w:r>
      <w:r w:rsidRPr="00A55949">
        <w:t>contribution</w:t>
      </w:r>
      <w:r>
        <w:t xml:space="preserve"> </w:t>
      </w:r>
      <w:r w:rsidRPr="00A55949">
        <w:t>prior</w:t>
      </w:r>
      <w:r>
        <w:t xml:space="preserve"> </w:t>
      </w:r>
      <w:r w:rsidRPr="00A55949">
        <w:t>to</w:t>
      </w:r>
      <w:r>
        <w:t xml:space="preserve"> </w:t>
      </w:r>
      <w:r w:rsidRPr="00A55949">
        <w:t>Admission.</w:t>
      </w:r>
      <w:r>
        <w:t xml:space="preserve"> </w:t>
      </w:r>
      <w:r w:rsidRPr="00A55949">
        <w:t>The</w:t>
      </w:r>
      <w:r>
        <w:t xml:space="preserve"> </w:t>
      </w:r>
      <w:r w:rsidRPr="00A55949">
        <w:t>maximum</w:t>
      </w:r>
      <w:r>
        <w:t xml:space="preserve"> </w:t>
      </w:r>
      <w:r w:rsidRPr="00A55949">
        <w:t>number</w:t>
      </w:r>
      <w:r>
        <w:t xml:space="preserve"> </w:t>
      </w:r>
      <w:r w:rsidRPr="00A55949">
        <w:t>of</w:t>
      </w:r>
      <w:r>
        <w:t xml:space="preserve"> </w:t>
      </w:r>
      <w:r w:rsidRPr="00A55949">
        <w:t>shares</w:t>
      </w:r>
      <w:r>
        <w:t xml:space="preserve"> </w:t>
      </w:r>
      <w:r w:rsidRPr="00A55949">
        <w:t>underlying</w:t>
      </w:r>
      <w:r>
        <w:t xml:space="preserve"> </w:t>
      </w:r>
      <w:r w:rsidRPr="00A55949">
        <w:t>the</w:t>
      </w:r>
      <w:r>
        <w:t xml:space="preserve"> </w:t>
      </w:r>
      <w:r w:rsidRPr="00A55949">
        <w:t>awards</w:t>
      </w:r>
      <w:r>
        <w:t xml:space="preserve"> </w:t>
      </w:r>
      <w:r w:rsidRPr="00A55949">
        <w:t>total</w:t>
      </w:r>
      <w:r>
        <w:t xml:space="preserve"> </w:t>
      </w:r>
      <w:r w:rsidRPr="00A55949">
        <w:t>1,671,200.</w:t>
      </w:r>
      <w:r>
        <w:t xml:space="preserve"> </w:t>
      </w:r>
      <w:r w:rsidRPr="00A55949">
        <w:t>Each</w:t>
      </w:r>
      <w:r>
        <w:t xml:space="preserve"> </w:t>
      </w:r>
      <w:r w:rsidRPr="00A55949">
        <w:t>award</w:t>
      </w:r>
      <w:r>
        <w:t xml:space="preserve"> was </w:t>
      </w:r>
      <w:r w:rsidRPr="00A55949">
        <w:t>divided</w:t>
      </w:r>
      <w:r>
        <w:t xml:space="preserve"> </w:t>
      </w:r>
      <w:r w:rsidRPr="00A55949">
        <w:t>into</w:t>
      </w:r>
      <w:r>
        <w:t xml:space="preserve"> </w:t>
      </w:r>
      <w:r w:rsidRPr="00A55949">
        <w:t>two</w:t>
      </w:r>
      <w:r>
        <w:t xml:space="preserve"> </w:t>
      </w:r>
      <w:r w:rsidRPr="00A55949">
        <w:t>equal</w:t>
      </w:r>
      <w:r>
        <w:t xml:space="preserve"> </w:t>
      </w:r>
      <w:r w:rsidRPr="00A55949">
        <w:t>tranches,</w:t>
      </w:r>
      <w:r>
        <w:t xml:space="preserve"> the first of </w:t>
      </w:r>
      <w:r w:rsidRPr="00A55949">
        <w:t>which</w:t>
      </w:r>
      <w:r>
        <w:t xml:space="preserve"> vested on 23 July 2015 and the second tranche </w:t>
      </w:r>
      <w:r w:rsidRPr="00A55949">
        <w:t>will</w:t>
      </w:r>
      <w:r>
        <w:t xml:space="preserve"> vest on 23 July 2016</w:t>
      </w:r>
      <w:r w:rsidRPr="00A55949">
        <w:t>.</w:t>
      </w:r>
      <w:r>
        <w:t xml:space="preserve"> </w:t>
      </w:r>
      <w:r w:rsidRPr="00A55949">
        <w:t>The</w:t>
      </w:r>
      <w:r>
        <w:t xml:space="preserve"> </w:t>
      </w:r>
      <w:r w:rsidRPr="00A55949">
        <w:t>number</w:t>
      </w:r>
      <w:r>
        <w:t xml:space="preserve"> </w:t>
      </w:r>
      <w:r w:rsidRPr="00A55949">
        <w:t>of</w:t>
      </w:r>
      <w:r>
        <w:t xml:space="preserve"> </w:t>
      </w:r>
      <w:r w:rsidRPr="00A55949">
        <w:t>options</w:t>
      </w:r>
      <w:r>
        <w:t xml:space="preserve"> </w:t>
      </w:r>
      <w:r w:rsidRPr="00A55949">
        <w:t>that</w:t>
      </w:r>
      <w:r>
        <w:t xml:space="preserve"> </w:t>
      </w:r>
      <w:r w:rsidRPr="00A55949">
        <w:t>will</w:t>
      </w:r>
      <w:r>
        <w:t xml:space="preserve"> </w:t>
      </w:r>
      <w:r w:rsidRPr="00A55949">
        <w:t>vest</w:t>
      </w:r>
      <w:r>
        <w:t xml:space="preserve"> </w:t>
      </w:r>
      <w:r w:rsidRPr="00A55949">
        <w:t>will</w:t>
      </w:r>
      <w:r>
        <w:t xml:space="preserve"> </w:t>
      </w:r>
      <w:r w:rsidRPr="00A55949">
        <w:t>depend</w:t>
      </w:r>
      <w:r>
        <w:t xml:space="preserve"> </w:t>
      </w:r>
      <w:r w:rsidRPr="00A55949">
        <w:t>on</w:t>
      </w:r>
      <w:r>
        <w:t xml:space="preserve"> </w:t>
      </w:r>
      <w:r w:rsidRPr="00A55949">
        <w:t>conditions</w:t>
      </w:r>
      <w:r>
        <w:t xml:space="preserve"> </w:t>
      </w:r>
      <w:r w:rsidRPr="00A55949">
        <w:t>relating</w:t>
      </w:r>
      <w:r>
        <w:t xml:space="preserve"> </w:t>
      </w:r>
      <w:r w:rsidRPr="00A55949">
        <w:t>to</w:t>
      </w:r>
      <w:r>
        <w:t xml:space="preserve"> </w:t>
      </w:r>
      <w:r w:rsidRPr="00A55949">
        <w:t>share</w:t>
      </w:r>
      <w:r>
        <w:t xml:space="preserve"> </w:t>
      </w:r>
      <w:r w:rsidRPr="00A55949">
        <w:t>price</w:t>
      </w:r>
      <w:r>
        <w:t xml:space="preserve"> </w:t>
      </w:r>
      <w:r w:rsidRPr="00A55949">
        <w:t>on</w:t>
      </w:r>
      <w:r>
        <w:t xml:space="preserve"> </w:t>
      </w:r>
      <w:r w:rsidRPr="00A55949">
        <w:t>the</w:t>
      </w:r>
      <w:r>
        <w:t xml:space="preserve"> </w:t>
      </w:r>
      <w:r w:rsidRPr="00A55949">
        <w:t>relevant</w:t>
      </w:r>
      <w:r>
        <w:t xml:space="preserve"> </w:t>
      </w:r>
      <w:r w:rsidRPr="00A55949">
        <w:t>date.</w:t>
      </w:r>
      <w:r>
        <w:t xml:space="preserve"> The first tranche, which vested on 23 July 2015, resulted in 801,824 options being issued. </w:t>
      </w:r>
    </w:p>
    <w:p w14:paraId="7F847967" w14:textId="74490EA8" w:rsidR="00004F63" w:rsidRPr="00066035" w:rsidRDefault="00004F63" w:rsidP="000B42F0">
      <w:pPr>
        <w:pStyle w:val="Heading4"/>
        <w:jc w:val="both"/>
      </w:pPr>
      <w:r w:rsidRPr="00066035">
        <w:t xml:space="preserve">Long </w:t>
      </w:r>
      <w:r w:rsidR="00EB5420">
        <w:t>T</w:t>
      </w:r>
      <w:r w:rsidRPr="00066035">
        <w:t xml:space="preserve">erm </w:t>
      </w:r>
      <w:r w:rsidR="00EB5420">
        <w:t>I</w:t>
      </w:r>
      <w:r w:rsidRPr="00066035">
        <w:t xml:space="preserve">ncentive </w:t>
      </w:r>
      <w:r w:rsidR="00EB5420">
        <w:t>P</w:t>
      </w:r>
      <w:r w:rsidRPr="00066035">
        <w:t>lan</w:t>
      </w:r>
    </w:p>
    <w:p w14:paraId="18325C28" w14:textId="1AC3177A" w:rsidR="00004F63" w:rsidRPr="00066035" w:rsidRDefault="00DA6771" w:rsidP="000B42F0">
      <w:pPr>
        <w:jc w:val="both"/>
      </w:pPr>
      <w:r w:rsidRPr="00A55949">
        <w:t>The</w:t>
      </w:r>
      <w:r>
        <w:t xml:space="preserve"> </w:t>
      </w:r>
      <w:r w:rsidR="00EB5420">
        <w:t>L</w:t>
      </w:r>
      <w:r w:rsidRPr="00A55949">
        <w:t>ong</w:t>
      </w:r>
      <w:r>
        <w:t xml:space="preserve"> </w:t>
      </w:r>
      <w:r w:rsidR="00EB5420">
        <w:t>T</w:t>
      </w:r>
      <w:r w:rsidRPr="00A55949">
        <w:t>erm</w:t>
      </w:r>
      <w:r>
        <w:t xml:space="preserve"> </w:t>
      </w:r>
      <w:r w:rsidR="00EB5420">
        <w:t>I</w:t>
      </w:r>
      <w:r w:rsidRPr="00A55949">
        <w:t>ncentive</w:t>
      </w:r>
      <w:r>
        <w:t xml:space="preserve"> </w:t>
      </w:r>
      <w:r w:rsidR="00EB5420">
        <w:t>P</w:t>
      </w:r>
      <w:r w:rsidRPr="00A55949">
        <w:t>lan</w:t>
      </w:r>
      <w:r>
        <w:t xml:space="preserve"> </w:t>
      </w:r>
      <w:r w:rsidRPr="00A55949">
        <w:t>(</w:t>
      </w:r>
      <w:r>
        <w:t>‘</w:t>
      </w:r>
      <w:r w:rsidRPr="00A55949">
        <w:t>LTIP</w:t>
      </w:r>
      <w:r>
        <w:t>’</w:t>
      </w:r>
      <w:r w:rsidRPr="00A55949">
        <w:t>)</w:t>
      </w:r>
      <w:r>
        <w:t xml:space="preserve"> </w:t>
      </w:r>
      <w:r w:rsidRPr="00A55949">
        <w:t>is</w:t>
      </w:r>
      <w:r>
        <w:t xml:space="preserve"> </w:t>
      </w:r>
      <w:r w:rsidRPr="00A55949">
        <w:t>open</w:t>
      </w:r>
      <w:r>
        <w:t xml:space="preserve"> </w:t>
      </w:r>
      <w:r w:rsidRPr="00A55949">
        <w:t>to</w:t>
      </w:r>
      <w:r>
        <w:t xml:space="preserve"> E</w:t>
      </w:r>
      <w:r w:rsidRPr="00A55949">
        <w:t>xecutive</w:t>
      </w:r>
      <w:r>
        <w:t xml:space="preserve"> D</w:t>
      </w:r>
      <w:r w:rsidRPr="00A55949">
        <w:t>irectors</w:t>
      </w:r>
      <w:r>
        <w:t xml:space="preserve"> </w:t>
      </w:r>
      <w:r w:rsidRPr="00A55949">
        <w:t>and</w:t>
      </w:r>
      <w:r>
        <w:t xml:space="preserve"> </w:t>
      </w:r>
      <w:r w:rsidRPr="00A55949">
        <w:t>designated</w:t>
      </w:r>
      <w:r>
        <w:t xml:space="preserve"> </w:t>
      </w:r>
      <w:r w:rsidRPr="00A55949">
        <w:t>senior</w:t>
      </w:r>
      <w:r>
        <w:t xml:space="preserve"> </w:t>
      </w:r>
      <w:r w:rsidRPr="00A55949">
        <w:t>managers,</w:t>
      </w:r>
      <w:r>
        <w:t xml:space="preserve"> </w:t>
      </w:r>
      <w:r w:rsidRPr="00A55949">
        <w:t>and</w:t>
      </w:r>
      <w:r>
        <w:t xml:space="preserve"> </w:t>
      </w:r>
      <w:r w:rsidRPr="00A55949">
        <w:t>awards</w:t>
      </w:r>
      <w:r>
        <w:t xml:space="preserve"> </w:t>
      </w:r>
      <w:r w:rsidRPr="00A55949">
        <w:t>are</w:t>
      </w:r>
      <w:r>
        <w:t xml:space="preserve"> </w:t>
      </w:r>
      <w:r w:rsidRPr="00A55949">
        <w:t>made</w:t>
      </w:r>
      <w:r>
        <w:t xml:space="preserve"> </w:t>
      </w:r>
      <w:r w:rsidRPr="00A55949">
        <w:t>at</w:t>
      </w:r>
      <w:r>
        <w:t xml:space="preserve"> </w:t>
      </w:r>
      <w:r w:rsidRPr="00A55949">
        <w:t>the</w:t>
      </w:r>
      <w:r>
        <w:t xml:space="preserve"> </w:t>
      </w:r>
      <w:r w:rsidRPr="00A55949">
        <w:t>discretion</w:t>
      </w:r>
      <w:r>
        <w:t xml:space="preserve"> </w:t>
      </w:r>
      <w:r w:rsidRPr="00A55949">
        <w:t>of</w:t>
      </w:r>
      <w:r>
        <w:t xml:space="preserve"> </w:t>
      </w:r>
      <w:r w:rsidRPr="00A55949">
        <w:t>the</w:t>
      </w:r>
      <w:r>
        <w:t xml:space="preserve"> </w:t>
      </w:r>
      <w:r w:rsidRPr="00A55949">
        <w:t>Remuneration</w:t>
      </w:r>
      <w:r>
        <w:t xml:space="preserve"> </w:t>
      </w:r>
      <w:r w:rsidRPr="00A55949">
        <w:t>Committee.</w:t>
      </w:r>
      <w:r>
        <w:t xml:space="preserve"> </w:t>
      </w:r>
      <w:r w:rsidRPr="00A55949">
        <w:t>Awards</w:t>
      </w:r>
      <w:r>
        <w:t xml:space="preserve"> </w:t>
      </w:r>
      <w:r w:rsidRPr="00A55949">
        <w:t>are</w:t>
      </w:r>
      <w:r>
        <w:t xml:space="preserve"> </w:t>
      </w:r>
      <w:r w:rsidRPr="00A55949">
        <w:t>subject</w:t>
      </w:r>
      <w:r>
        <w:t xml:space="preserve"> </w:t>
      </w:r>
      <w:r w:rsidRPr="00A55949">
        <w:t>to</w:t>
      </w:r>
      <w:r>
        <w:t xml:space="preserve"> </w:t>
      </w:r>
      <w:r w:rsidRPr="00A55949">
        <w:t>market</w:t>
      </w:r>
      <w:r>
        <w:t xml:space="preserve"> </w:t>
      </w:r>
      <w:r w:rsidRPr="00A55949">
        <w:t>and</w:t>
      </w:r>
      <w:r>
        <w:t xml:space="preserve"> </w:t>
      </w:r>
      <w:r w:rsidRPr="00A55949">
        <w:t>non-market</w:t>
      </w:r>
      <w:r>
        <w:t xml:space="preserve"> </w:t>
      </w:r>
      <w:r w:rsidRPr="00A55949">
        <w:t>performance</w:t>
      </w:r>
      <w:r>
        <w:t xml:space="preserve"> </w:t>
      </w:r>
      <w:r w:rsidRPr="00A55949">
        <w:t>criteria</w:t>
      </w:r>
      <w:r>
        <w:t xml:space="preserve">. </w:t>
      </w:r>
    </w:p>
    <w:p w14:paraId="5F062832" w14:textId="0E0D4A17" w:rsidR="00004F63" w:rsidRPr="00066035" w:rsidRDefault="00EB5420" w:rsidP="000B42F0">
      <w:pPr>
        <w:pStyle w:val="Heading4"/>
        <w:jc w:val="both"/>
      </w:pPr>
      <w:r>
        <w:t>Deferred B</w:t>
      </w:r>
      <w:r w:rsidR="00004F63" w:rsidRPr="00066035">
        <w:t xml:space="preserve">onus </w:t>
      </w:r>
      <w:r>
        <w:t>P</w:t>
      </w:r>
      <w:r w:rsidR="00004F63" w:rsidRPr="00066035">
        <w:t>lan</w:t>
      </w:r>
    </w:p>
    <w:p w14:paraId="0A40F2D0" w14:textId="0250B0D2" w:rsidR="00004F63" w:rsidRPr="00066035" w:rsidRDefault="00DA6771" w:rsidP="000B42F0">
      <w:pPr>
        <w:jc w:val="both"/>
      </w:pPr>
      <w:r w:rsidRPr="00A55949">
        <w:t>The</w:t>
      </w:r>
      <w:r>
        <w:t xml:space="preserve"> </w:t>
      </w:r>
      <w:r w:rsidR="00EB5420">
        <w:t>D</w:t>
      </w:r>
      <w:r w:rsidRPr="00A55949">
        <w:t>eferred</w:t>
      </w:r>
      <w:r>
        <w:t xml:space="preserve"> </w:t>
      </w:r>
      <w:r w:rsidR="00EB5420">
        <w:t>B</w:t>
      </w:r>
      <w:r w:rsidRPr="00A55949">
        <w:t>onus</w:t>
      </w:r>
      <w:r>
        <w:t xml:space="preserve"> </w:t>
      </w:r>
      <w:r w:rsidR="00EB5420">
        <w:t>P</w:t>
      </w:r>
      <w:r w:rsidRPr="00A55949">
        <w:t>lan</w:t>
      </w:r>
      <w:r>
        <w:t xml:space="preserve"> </w:t>
      </w:r>
      <w:r w:rsidRPr="00A55949">
        <w:t>is</w:t>
      </w:r>
      <w:r>
        <w:t xml:space="preserve"> </w:t>
      </w:r>
      <w:r w:rsidRPr="00A55949">
        <w:t>a</w:t>
      </w:r>
      <w:r>
        <w:t xml:space="preserve"> </w:t>
      </w:r>
      <w:r w:rsidRPr="00A55949">
        <w:t>discretionary</w:t>
      </w:r>
      <w:r>
        <w:t xml:space="preserve"> </w:t>
      </w:r>
      <w:r w:rsidRPr="00A55949">
        <w:t>executive</w:t>
      </w:r>
      <w:r>
        <w:t xml:space="preserve"> </w:t>
      </w:r>
      <w:r w:rsidRPr="00A55949">
        <w:t>share</w:t>
      </w:r>
      <w:r>
        <w:t xml:space="preserve"> </w:t>
      </w:r>
      <w:r w:rsidRPr="00A55949">
        <w:t>bonus</w:t>
      </w:r>
      <w:r>
        <w:t xml:space="preserve"> </w:t>
      </w:r>
      <w:r w:rsidRPr="00A55949">
        <w:t>plan</w:t>
      </w:r>
      <w:r>
        <w:t xml:space="preserve"> </w:t>
      </w:r>
      <w:r w:rsidRPr="00A55949">
        <w:t>under</w:t>
      </w:r>
      <w:r>
        <w:t xml:space="preserve"> </w:t>
      </w:r>
      <w:r w:rsidRPr="00A55949">
        <w:t>which</w:t>
      </w:r>
      <w:r>
        <w:t xml:space="preserve"> </w:t>
      </w:r>
      <w:r w:rsidRPr="00A55949">
        <w:t>the</w:t>
      </w:r>
      <w:r>
        <w:t xml:space="preserve"> </w:t>
      </w:r>
      <w:r w:rsidRPr="00A55949">
        <w:t>Remuneration</w:t>
      </w:r>
      <w:r>
        <w:t xml:space="preserve"> </w:t>
      </w:r>
      <w:r w:rsidRPr="00A55949">
        <w:t>Committee</w:t>
      </w:r>
      <w:r>
        <w:t xml:space="preserve"> </w:t>
      </w:r>
      <w:r w:rsidRPr="00A55949">
        <w:t>determines</w:t>
      </w:r>
      <w:r>
        <w:t xml:space="preserve"> </w:t>
      </w:r>
      <w:r w:rsidRPr="00A55949">
        <w:t>that</w:t>
      </w:r>
      <w:r>
        <w:t xml:space="preserve"> </w:t>
      </w:r>
      <w:r w:rsidRPr="00A55949">
        <w:t>a</w:t>
      </w:r>
      <w:r>
        <w:t xml:space="preserve"> </w:t>
      </w:r>
      <w:r w:rsidRPr="00A55949">
        <w:t>proportion</w:t>
      </w:r>
      <w:r>
        <w:t xml:space="preserve"> </w:t>
      </w:r>
      <w:r w:rsidRPr="00A55949">
        <w:t>of</w:t>
      </w:r>
      <w:r>
        <w:t xml:space="preserve"> </w:t>
      </w:r>
      <w:r w:rsidRPr="00A55949">
        <w:t>a</w:t>
      </w:r>
      <w:r>
        <w:t xml:space="preserve"> </w:t>
      </w:r>
      <w:r w:rsidRPr="00A55949">
        <w:t>participant</w:t>
      </w:r>
      <w:r>
        <w:t>’</w:t>
      </w:r>
      <w:r w:rsidRPr="00A55949">
        <w:t>s</w:t>
      </w:r>
      <w:r>
        <w:t xml:space="preserve"> </w:t>
      </w:r>
      <w:r w:rsidRPr="00A55949">
        <w:t>annual</w:t>
      </w:r>
      <w:r>
        <w:t xml:space="preserve"> </w:t>
      </w:r>
      <w:r w:rsidRPr="00A55949">
        <w:t>bonus</w:t>
      </w:r>
      <w:r>
        <w:t xml:space="preserve"> </w:t>
      </w:r>
      <w:r w:rsidRPr="00A55949">
        <w:t>will</w:t>
      </w:r>
      <w:r>
        <w:t xml:space="preserve"> </w:t>
      </w:r>
      <w:r w:rsidRPr="00A55949">
        <w:t>be</w:t>
      </w:r>
      <w:r>
        <w:t xml:space="preserve"> </w:t>
      </w:r>
      <w:r w:rsidRPr="00A55949">
        <w:t>deferred.</w:t>
      </w:r>
      <w:r>
        <w:t xml:space="preserve"> </w:t>
      </w:r>
      <w:r w:rsidRPr="00A55949">
        <w:t>The</w:t>
      </w:r>
      <w:r>
        <w:t xml:space="preserve"> </w:t>
      </w:r>
      <w:r w:rsidRPr="00A55949">
        <w:t>market</w:t>
      </w:r>
      <w:r>
        <w:t xml:space="preserve"> </w:t>
      </w:r>
      <w:r w:rsidRPr="00A55949">
        <w:t>value</w:t>
      </w:r>
      <w:r>
        <w:t xml:space="preserve"> </w:t>
      </w:r>
      <w:r w:rsidRPr="00A55949">
        <w:t>of</w:t>
      </w:r>
      <w:r>
        <w:t xml:space="preserve"> </w:t>
      </w:r>
      <w:r w:rsidRPr="00A55949">
        <w:t>the</w:t>
      </w:r>
      <w:r>
        <w:t xml:space="preserve"> </w:t>
      </w:r>
      <w:r w:rsidRPr="00A55949">
        <w:t>shares</w:t>
      </w:r>
      <w:r>
        <w:t xml:space="preserve"> </w:t>
      </w:r>
      <w:r w:rsidRPr="00A55949">
        <w:t>granted</w:t>
      </w:r>
      <w:r>
        <w:t xml:space="preserve"> </w:t>
      </w:r>
      <w:r w:rsidRPr="00A55949">
        <w:t>to</w:t>
      </w:r>
      <w:r>
        <w:t xml:space="preserve"> </w:t>
      </w:r>
      <w:r w:rsidRPr="00A55949">
        <w:t>any</w:t>
      </w:r>
      <w:r>
        <w:t xml:space="preserve"> </w:t>
      </w:r>
      <w:r w:rsidRPr="00A55949">
        <w:t>employee</w:t>
      </w:r>
      <w:r>
        <w:t xml:space="preserve"> </w:t>
      </w:r>
      <w:r w:rsidRPr="00A55949">
        <w:t>will</w:t>
      </w:r>
      <w:r>
        <w:t xml:space="preserve"> </w:t>
      </w:r>
      <w:r w:rsidRPr="00A55949">
        <w:t>be</w:t>
      </w:r>
      <w:r>
        <w:t xml:space="preserve"> </w:t>
      </w:r>
      <w:r w:rsidRPr="00A55949">
        <w:t>equal</w:t>
      </w:r>
      <w:r>
        <w:t xml:space="preserve"> </w:t>
      </w:r>
      <w:r w:rsidRPr="00A55949">
        <w:t>to</w:t>
      </w:r>
      <w:r>
        <w:t xml:space="preserve"> </w:t>
      </w:r>
      <w:r w:rsidRPr="00A55949">
        <w:t>one-third</w:t>
      </w:r>
      <w:r>
        <w:t xml:space="preserve"> </w:t>
      </w:r>
      <w:r w:rsidRPr="00A55949">
        <w:t>of</w:t>
      </w:r>
      <w:r>
        <w:t xml:space="preserve"> </w:t>
      </w:r>
      <w:r w:rsidRPr="00A55949">
        <w:t>the</w:t>
      </w:r>
      <w:r>
        <w:t xml:space="preserve"> </w:t>
      </w:r>
      <w:r w:rsidRPr="00A55949">
        <w:t>total</w:t>
      </w:r>
      <w:r>
        <w:t xml:space="preserve"> </w:t>
      </w:r>
      <w:r w:rsidRPr="00A55949">
        <w:t>annual</w:t>
      </w:r>
      <w:r>
        <w:t xml:space="preserve"> </w:t>
      </w:r>
      <w:r w:rsidRPr="00A55949">
        <w:t>bonus</w:t>
      </w:r>
      <w:r>
        <w:t xml:space="preserve"> </w:t>
      </w:r>
      <w:r w:rsidRPr="00A55949">
        <w:t>that</w:t>
      </w:r>
      <w:r>
        <w:t xml:space="preserve"> </w:t>
      </w:r>
      <w:r w:rsidRPr="00A55949">
        <w:t>would</w:t>
      </w:r>
      <w:r>
        <w:t xml:space="preserve"> </w:t>
      </w:r>
      <w:r w:rsidRPr="00A55949">
        <w:t>otherwise</w:t>
      </w:r>
      <w:r>
        <w:t xml:space="preserve"> </w:t>
      </w:r>
      <w:r w:rsidRPr="00A55949">
        <w:t>have</w:t>
      </w:r>
      <w:r>
        <w:t xml:space="preserve"> </w:t>
      </w:r>
      <w:r w:rsidRPr="00A55949">
        <w:t>been</w:t>
      </w:r>
      <w:r>
        <w:t xml:space="preserve"> </w:t>
      </w:r>
      <w:r w:rsidRPr="00A55949">
        <w:t>payable</w:t>
      </w:r>
      <w:r>
        <w:t xml:space="preserve"> </w:t>
      </w:r>
      <w:r w:rsidRPr="00A55949">
        <w:t>to</w:t>
      </w:r>
      <w:r>
        <w:t xml:space="preserve"> </w:t>
      </w:r>
      <w:r w:rsidRPr="00A55949">
        <w:t>the</w:t>
      </w:r>
      <w:r>
        <w:t xml:space="preserve"> </w:t>
      </w:r>
      <w:r w:rsidRPr="00A55949">
        <w:t>individual.</w:t>
      </w:r>
      <w:r>
        <w:t xml:space="preserve"> </w:t>
      </w:r>
      <w:r w:rsidRPr="00A55949">
        <w:t>The</w:t>
      </w:r>
      <w:r>
        <w:t xml:space="preserve"> </w:t>
      </w:r>
      <w:r w:rsidRPr="00A55949">
        <w:t>awards</w:t>
      </w:r>
      <w:r>
        <w:t xml:space="preserve"> </w:t>
      </w:r>
      <w:r w:rsidRPr="00A55949">
        <w:t>will</w:t>
      </w:r>
      <w:r>
        <w:t xml:space="preserve"> </w:t>
      </w:r>
      <w:r w:rsidRPr="00A55949">
        <w:t>be</w:t>
      </w:r>
      <w:r>
        <w:t xml:space="preserve"> </w:t>
      </w:r>
      <w:r w:rsidRPr="00A55949">
        <w:t>granted</w:t>
      </w:r>
      <w:r>
        <w:t xml:space="preserve"> </w:t>
      </w:r>
      <w:r w:rsidRPr="00A55949">
        <w:t>on</w:t>
      </w:r>
      <w:r>
        <w:t xml:space="preserve"> </w:t>
      </w:r>
      <w:r w:rsidRPr="00A55949">
        <w:t>the</w:t>
      </w:r>
      <w:r>
        <w:t xml:space="preserve"> </w:t>
      </w:r>
      <w:r w:rsidRPr="00A55949">
        <w:t>day</w:t>
      </w:r>
      <w:r>
        <w:t xml:space="preserve"> </w:t>
      </w:r>
      <w:r w:rsidRPr="00A55949">
        <w:t>after</w:t>
      </w:r>
      <w:r>
        <w:t xml:space="preserve"> </w:t>
      </w:r>
      <w:r w:rsidRPr="00A55949">
        <w:t>the</w:t>
      </w:r>
      <w:r>
        <w:t xml:space="preserve"> </w:t>
      </w:r>
      <w:r w:rsidRPr="00A55949">
        <w:t>announcement</w:t>
      </w:r>
      <w:r>
        <w:t xml:space="preserve"> </w:t>
      </w:r>
      <w:r w:rsidRPr="00A55949">
        <w:t>of</w:t>
      </w:r>
      <w:r>
        <w:t xml:space="preserve"> </w:t>
      </w:r>
      <w:r w:rsidRPr="00A55949">
        <w:t>the</w:t>
      </w:r>
      <w:r>
        <w:t xml:space="preserve"> </w:t>
      </w:r>
      <w:r w:rsidRPr="00A55949">
        <w:t>Group</w:t>
      </w:r>
      <w:r>
        <w:t>’</w:t>
      </w:r>
      <w:r w:rsidRPr="00A55949">
        <w:t>s</w:t>
      </w:r>
      <w:r>
        <w:t xml:space="preserve"> </w:t>
      </w:r>
      <w:r w:rsidRPr="00A55949">
        <w:t>annual</w:t>
      </w:r>
      <w:r>
        <w:t xml:space="preserve"> </w:t>
      </w:r>
      <w:r w:rsidRPr="00A55949">
        <w:t>results.</w:t>
      </w:r>
      <w:r>
        <w:t xml:space="preserve"> </w:t>
      </w:r>
      <w:r w:rsidRPr="00A55949">
        <w:t>The</w:t>
      </w:r>
      <w:r>
        <w:t xml:space="preserve"> </w:t>
      </w:r>
      <w:r w:rsidRPr="00A55949">
        <w:t>awards</w:t>
      </w:r>
      <w:r>
        <w:t xml:space="preserve"> </w:t>
      </w:r>
      <w:r w:rsidRPr="00A55949">
        <w:t>will</w:t>
      </w:r>
      <w:r>
        <w:t xml:space="preserve"> </w:t>
      </w:r>
      <w:r w:rsidRPr="00A55949">
        <w:t>normally</w:t>
      </w:r>
      <w:r>
        <w:t xml:space="preserve"> </w:t>
      </w:r>
      <w:r w:rsidRPr="00A55949">
        <w:t>vest</w:t>
      </w:r>
      <w:r>
        <w:t xml:space="preserve"> </w:t>
      </w:r>
      <w:r w:rsidRPr="00A55949">
        <w:t>over</w:t>
      </w:r>
      <w:r>
        <w:t xml:space="preserve"> </w:t>
      </w:r>
      <w:r w:rsidRPr="00A55949">
        <w:t>a</w:t>
      </w:r>
      <w:r>
        <w:t xml:space="preserve"> </w:t>
      </w:r>
      <w:r w:rsidRPr="00A55949">
        <w:t>three</w:t>
      </w:r>
      <w:r w:rsidR="00744656">
        <w:t>-</w:t>
      </w:r>
      <w:r w:rsidRPr="00A55949">
        <w:t>year</w:t>
      </w:r>
      <w:r>
        <w:t xml:space="preserve"> </w:t>
      </w:r>
      <w:r w:rsidRPr="00A55949">
        <w:t>period</w:t>
      </w:r>
      <w:r w:rsidR="00004F63" w:rsidRPr="00066035">
        <w:t>.</w:t>
      </w:r>
    </w:p>
    <w:p w14:paraId="78AFD792" w14:textId="4E6DAEEB" w:rsidR="00004F63" w:rsidRPr="00066035" w:rsidRDefault="00364452" w:rsidP="00C85815">
      <w:pPr>
        <w:pStyle w:val="Heading3"/>
        <w:pageBreakBefore/>
      </w:pPr>
      <w:r>
        <w:lastRenderedPageBreak/>
        <w:t>2</w:t>
      </w:r>
      <w:r w:rsidR="00356462">
        <w:t>1</w:t>
      </w:r>
      <w:r>
        <w:t xml:space="preserve">. </w:t>
      </w:r>
      <w:r w:rsidR="00004F63" w:rsidRPr="00066035">
        <w:t>Commitments</w:t>
      </w:r>
    </w:p>
    <w:p w14:paraId="0CEDFD38" w14:textId="77777777" w:rsidR="00004F63" w:rsidRPr="00066035" w:rsidRDefault="00004F63" w:rsidP="00D94AEE">
      <w:pPr>
        <w:pStyle w:val="Heading4"/>
      </w:pPr>
      <w:r w:rsidRPr="00066035">
        <w:t>Operating leases</w:t>
      </w:r>
    </w:p>
    <w:p w14:paraId="21180684" w14:textId="2DD70F41" w:rsidR="00004F63" w:rsidRPr="009E3D84" w:rsidRDefault="00DA6771" w:rsidP="00D94AEE">
      <w:r w:rsidRPr="00A55949">
        <w:t>The</w:t>
      </w:r>
      <w:r>
        <w:t xml:space="preserve"> </w:t>
      </w:r>
      <w:r w:rsidRPr="00A55949">
        <w:t>Group</w:t>
      </w:r>
      <w:r>
        <w:t xml:space="preserve"> </w:t>
      </w:r>
      <w:r w:rsidRPr="00A55949">
        <w:t>had</w:t>
      </w:r>
      <w:r>
        <w:t xml:space="preserve"> </w:t>
      </w:r>
      <w:r w:rsidRPr="00A55949">
        <w:t>future</w:t>
      </w:r>
      <w:r>
        <w:t xml:space="preserve"> </w:t>
      </w:r>
      <w:r w:rsidRPr="00A55949">
        <w:t>minimum</w:t>
      </w:r>
      <w:r>
        <w:t xml:space="preserve"> </w:t>
      </w:r>
      <w:r w:rsidRPr="00A55949">
        <w:t>lease</w:t>
      </w:r>
      <w:r>
        <w:t xml:space="preserve"> </w:t>
      </w:r>
      <w:r w:rsidRPr="00A55949">
        <w:t>payments</w:t>
      </w:r>
      <w:r>
        <w:t xml:space="preserve"> </w:t>
      </w:r>
      <w:r w:rsidRPr="00A55949">
        <w:t>under</w:t>
      </w:r>
      <w:r>
        <w:t xml:space="preserve"> </w:t>
      </w:r>
      <w:r w:rsidRPr="00A55949">
        <w:t>non-cancellable</w:t>
      </w:r>
      <w:r>
        <w:t xml:space="preserve"> </w:t>
      </w:r>
      <w:r w:rsidRPr="00A55949">
        <w:t>operating</w:t>
      </w:r>
      <w:r>
        <w:t xml:space="preserve"> </w:t>
      </w:r>
      <w:r w:rsidRPr="00A55949">
        <w:t>leases,</w:t>
      </w:r>
      <w:r>
        <w:t xml:space="preserve"> </w:t>
      </w:r>
      <w:r w:rsidRPr="009678B7">
        <w:t>based on rents prevailing at the year end</w:t>
      </w:r>
      <w:r>
        <w:t>,</w:t>
      </w:r>
      <w:r w:rsidRPr="00A55949">
        <w:t xml:space="preserve"> as</w:t>
      </w:r>
      <w:r>
        <w:t xml:space="preserve"> </w:t>
      </w:r>
      <w:r w:rsidRPr="00A55949">
        <w:t>set</w:t>
      </w:r>
      <w:r>
        <w:t xml:space="preserve"> </w:t>
      </w:r>
      <w:r w:rsidRPr="00A55949">
        <w:t>out</w:t>
      </w:r>
      <w:r>
        <w:t xml:space="preserve"> </w:t>
      </w:r>
      <w:r w:rsidRPr="00A55949">
        <w:t>below</w:t>
      </w:r>
      <w:r w:rsidR="00004F63" w:rsidRPr="009E3D84">
        <w:t>:</w:t>
      </w:r>
    </w:p>
    <w:tbl>
      <w:tblPr>
        <w:tblW w:w="9072" w:type="dxa"/>
        <w:tblLayout w:type="fixed"/>
        <w:tblCellMar>
          <w:left w:w="0" w:type="dxa"/>
          <w:right w:w="57" w:type="dxa"/>
        </w:tblCellMar>
        <w:tblLook w:val="0000" w:firstRow="0" w:lastRow="0" w:firstColumn="0" w:lastColumn="0" w:noHBand="0" w:noVBand="0"/>
      </w:tblPr>
      <w:tblGrid>
        <w:gridCol w:w="5286"/>
        <w:gridCol w:w="947"/>
        <w:gridCol w:w="949"/>
        <w:gridCol w:w="945"/>
        <w:gridCol w:w="945"/>
      </w:tblGrid>
      <w:tr w:rsidR="009E3D84" w:rsidRPr="009E3D84" w14:paraId="7841682F" w14:textId="77777777" w:rsidTr="00084289">
        <w:tc>
          <w:tcPr>
            <w:tcW w:w="2913" w:type="pct"/>
            <w:vAlign w:val="bottom"/>
          </w:tcPr>
          <w:p w14:paraId="31BEC022" w14:textId="77777777" w:rsidR="00004F63" w:rsidRPr="00D94AEE" w:rsidRDefault="00004F63" w:rsidP="00D94AEE">
            <w:pPr>
              <w:pStyle w:val="Tableheading"/>
            </w:pPr>
          </w:p>
        </w:tc>
        <w:tc>
          <w:tcPr>
            <w:tcW w:w="1045" w:type="pct"/>
            <w:gridSpan w:val="2"/>
            <w:vAlign w:val="bottom"/>
          </w:tcPr>
          <w:p w14:paraId="7DDDAB72" w14:textId="3C5882ED" w:rsidR="00004F63" w:rsidRPr="00D94AEE" w:rsidRDefault="00004F63" w:rsidP="0037370C">
            <w:pPr>
              <w:pStyle w:val="Tableheading"/>
              <w:jc w:val="center"/>
              <w:rPr>
                <w:b/>
              </w:rPr>
            </w:pPr>
            <w:r w:rsidRPr="00D94AEE">
              <w:rPr>
                <w:b/>
              </w:rPr>
              <w:t>201</w:t>
            </w:r>
            <w:r w:rsidR="0037370C">
              <w:rPr>
                <w:b/>
              </w:rPr>
              <w:t>5</w:t>
            </w:r>
          </w:p>
        </w:tc>
        <w:tc>
          <w:tcPr>
            <w:tcW w:w="1042" w:type="pct"/>
            <w:gridSpan w:val="2"/>
            <w:vAlign w:val="bottom"/>
          </w:tcPr>
          <w:p w14:paraId="3C071F1D" w14:textId="613981A9" w:rsidR="00004F63" w:rsidRPr="00D94AEE" w:rsidRDefault="00004F63" w:rsidP="0037370C">
            <w:pPr>
              <w:pStyle w:val="Tableheading"/>
              <w:jc w:val="center"/>
            </w:pPr>
            <w:r w:rsidRPr="00D94AEE">
              <w:t>201</w:t>
            </w:r>
            <w:r w:rsidR="0037370C">
              <w:t>4</w:t>
            </w:r>
          </w:p>
        </w:tc>
      </w:tr>
      <w:tr w:rsidR="009E3D84" w:rsidRPr="009E3D84" w14:paraId="38427D2F" w14:textId="77777777" w:rsidTr="00084289">
        <w:tc>
          <w:tcPr>
            <w:tcW w:w="2913" w:type="pct"/>
            <w:tcBorders>
              <w:bottom w:val="single" w:sz="4" w:space="0" w:color="93B7BB"/>
            </w:tcBorders>
            <w:vAlign w:val="bottom"/>
          </w:tcPr>
          <w:p w14:paraId="0046CC50" w14:textId="77777777" w:rsidR="00004F63" w:rsidRPr="00D94AEE" w:rsidRDefault="00D94AEE" w:rsidP="00D94AEE">
            <w:pPr>
              <w:pStyle w:val="Tableheading"/>
            </w:pPr>
            <w:r w:rsidRPr="00D94AEE">
              <w:t>(£ million)</w:t>
            </w:r>
          </w:p>
        </w:tc>
        <w:tc>
          <w:tcPr>
            <w:tcW w:w="522" w:type="pct"/>
            <w:tcBorders>
              <w:bottom w:val="single" w:sz="4" w:space="0" w:color="93B7BB"/>
            </w:tcBorders>
            <w:vAlign w:val="bottom"/>
          </w:tcPr>
          <w:p w14:paraId="3718C8A5" w14:textId="77777777" w:rsidR="00004F63" w:rsidRPr="00D94AEE" w:rsidRDefault="00004F63" w:rsidP="00D94AEE">
            <w:pPr>
              <w:pStyle w:val="Tableheading"/>
              <w:jc w:val="right"/>
              <w:rPr>
                <w:b/>
              </w:rPr>
            </w:pPr>
            <w:r w:rsidRPr="00D94AEE">
              <w:rPr>
                <w:b/>
              </w:rPr>
              <w:t>Land and</w:t>
            </w:r>
            <w:r w:rsidR="00D94AEE" w:rsidRPr="00D94AEE">
              <w:rPr>
                <w:b/>
              </w:rPr>
              <w:br/>
            </w:r>
            <w:r w:rsidRPr="00D94AEE">
              <w:rPr>
                <w:b/>
              </w:rPr>
              <w:t>buildings</w:t>
            </w:r>
          </w:p>
        </w:tc>
        <w:tc>
          <w:tcPr>
            <w:tcW w:w="523" w:type="pct"/>
            <w:tcBorders>
              <w:bottom w:val="single" w:sz="4" w:space="0" w:color="93B7BB"/>
            </w:tcBorders>
            <w:vAlign w:val="bottom"/>
          </w:tcPr>
          <w:p w14:paraId="4CD62288" w14:textId="77777777" w:rsidR="00004F63" w:rsidRPr="00D94AEE" w:rsidRDefault="00004F63" w:rsidP="00D94AEE">
            <w:pPr>
              <w:pStyle w:val="Tableheading"/>
              <w:jc w:val="right"/>
              <w:rPr>
                <w:b/>
              </w:rPr>
            </w:pPr>
            <w:r w:rsidRPr="00D94AEE">
              <w:rPr>
                <w:b/>
              </w:rPr>
              <w:t>Other</w:t>
            </w:r>
          </w:p>
        </w:tc>
        <w:tc>
          <w:tcPr>
            <w:tcW w:w="521" w:type="pct"/>
            <w:tcBorders>
              <w:bottom w:val="single" w:sz="4" w:space="0" w:color="93B7BB"/>
            </w:tcBorders>
            <w:vAlign w:val="bottom"/>
          </w:tcPr>
          <w:p w14:paraId="4DF7934C" w14:textId="77777777" w:rsidR="00004F63" w:rsidRPr="00D94AEE" w:rsidRDefault="00004F63" w:rsidP="00D94AEE">
            <w:pPr>
              <w:pStyle w:val="Tableheading"/>
              <w:jc w:val="right"/>
            </w:pPr>
            <w:r w:rsidRPr="00D94AEE">
              <w:t>Land and</w:t>
            </w:r>
            <w:r w:rsidR="00D94AEE">
              <w:br/>
            </w:r>
            <w:r w:rsidRPr="00D94AEE">
              <w:t>buildings</w:t>
            </w:r>
          </w:p>
        </w:tc>
        <w:tc>
          <w:tcPr>
            <w:tcW w:w="521" w:type="pct"/>
            <w:tcBorders>
              <w:bottom w:val="single" w:sz="4" w:space="0" w:color="93B7BB"/>
            </w:tcBorders>
            <w:vAlign w:val="bottom"/>
          </w:tcPr>
          <w:p w14:paraId="2DDAA6EC" w14:textId="77777777" w:rsidR="00004F63" w:rsidRPr="00D94AEE" w:rsidRDefault="00004F63" w:rsidP="00D94AEE">
            <w:pPr>
              <w:pStyle w:val="Tableheading"/>
              <w:jc w:val="right"/>
            </w:pPr>
            <w:r w:rsidRPr="00D94AEE">
              <w:t>Other</w:t>
            </w:r>
          </w:p>
        </w:tc>
      </w:tr>
      <w:tr w:rsidR="00084289" w:rsidRPr="009E3D84" w14:paraId="6727522C" w14:textId="77777777" w:rsidTr="00084289">
        <w:tc>
          <w:tcPr>
            <w:tcW w:w="2913" w:type="pct"/>
            <w:tcBorders>
              <w:top w:val="single" w:sz="4" w:space="0" w:color="93B7BB"/>
            </w:tcBorders>
            <w:vAlign w:val="bottom"/>
          </w:tcPr>
          <w:p w14:paraId="69C9388E" w14:textId="77777777" w:rsidR="00084289" w:rsidRPr="009E3D84" w:rsidRDefault="00084289" w:rsidP="00D94AEE">
            <w:pPr>
              <w:pStyle w:val="Tabletext"/>
            </w:pPr>
            <w:r w:rsidRPr="009E3D84">
              <w:t xml:space="preserve">Not later than one year </w:t>
            </w:r>
          </w:p>
        </w:tc>
        <w:tc>
          <w:tcPr>
            <w:tcW w:w="522" w:type="pct"/>
            <w:tcBorders>
              <w:top w:val="single" w:sz="4" w:space="0" w:color="93B7BB"/>
            </w:tcBorders>
            <w:shd w:val="clear" w:color="auto" w:fill="EFF4F5"/>
            <w:vAlign w:val="bottom"/>
          </w:tcPr>
          <w:p w14:paraId="678BA089" w14:textId="5E9CCF26" w:rsidR="00084289" w:rsidRPr="00D94AEE" w:rsidRDefault="00DA6771" w:rsidP="00D94AEE">
            <w:pPr>
              <w:pStyle w:val="Tabletext"/>
              <w:jc w:val="right"/>
              <w:rPr>
                <w:b/>
              </w:rPr>
            </w:pPr>
            <w:r>
              <w:rPr>
                <w:b/>
              </w:rPr>
              <w:t>62.9</w:t>
            </w:r>
          </w:p>
        </w:tc>
        <w:tc>
          <w:tcPr>
            <w:tcW w:w="523" w:type="pct"/>
            <w:tcBorders>
              <w:top w:val="single" w:sz="4" w:space="0" w:color="93B7BB"/>
            </w:tcBorders>
            <w:shd w:val="clear" w:color="auto" w:fill="EFF4F5"/>
            <w:vAlign w:val="bottom"/>
          </w:tcPr>
          <w:p w14:paraId="729A98C2" w14:textId="2E71067C" w:rsidR="00084289" w:rsidRPr="00D94AEE" w:rsidRDefault="00DA6771" w:rsidP="00D94AEE">
            <w:pPr>
              <w:pStyle w:val="Tabletext"/>
              <w:jc w:val="right"/>
              <w:rPr>
                <w:b/>
              </w:rPr>
            </w:pPr>
            <w:r>
              <w:rPr>
                <w:b/>
              </w:rPr>
              <w:t>0.9</w:t>
            </w:r>
          </w:p>
        </w:tc>
        <w:tc>
          <w:tcPr>
            <w:tcW w:w="521" w:type="pct"/>
            <w:tcBorders>
              <w:top w:val="single" w:sz="4" w:space="0" w:color="93B7BB"/>
            </w:tcBorders>
            <w:vAlign w:val="bottom"/>
          </w:tcPr>
          <w:p w14:paraId="2FE34762" w14:textId="79A3B9A1" w:rsidR="00084289" w:rsidRPr="00084289" w:rsidRDefault="00084289" w:rsidP="00D94AEE">
            <w:pPr>
              <w:pStyle w:val="Tabletext"/>
              <w:jc w:val="right"/>
            </w:pPr>
            <w:r w:rsidRPr="00084289">
              <w:t>61.9</w:t>
            </w:r>
          </w:p>
        </w:tc>
        <w:tc>
          <w:tcPr>
            <w:tcW w:w="521" w:type="pct"/>
            <w:tcBorders>
              <w:top w:val="single" w:sz="4" w:space="0" w:color="93B7BB"/>
            </w:tcBorders>
            <w:vAlign w:val="bottom"/>
          </w:tcPr>
          <w:p w14:paraId="3D364CA6" w14:textId="0B970B34" w:rsidR="00084289" w:rsidRPr="009E3D84" w:rsidRDefault="00084289" w:rsidP="00D94AEE">
            <w:pPr>
              <w:pStyle w:val="Tabletext"/>
              <w:jc w:val="right"/>
            </w:pPr>
            <w:r>
              <w:t>0.7</w:t>
            </w:r>
          </w:p>
        </w:tc>
      </w:tr>
      <w:tr w:rsidR="00084289" w:rsidRPr="009E3D84" w14:paraId="7695B9AB" w14:textId="77777777" w:rsidTr="00084289">
        <w:tc>
          <w:tcPr>
            <w:tcW w:w="2913" w:type="pct"/>
            <w:vAlign w:val="bottom"/>
          </w:tcPr>
          <w:p w14:paraId="6A8841F7" w14:textId="77777777" w:rsidR="00084289" w:rsidRPr="009E3D84" w:rsidRDefault="00084289" w:rsidP="00D94AEE">
            <w:pPr>
              <w:pStyle w:val="Tabletext"/>
            </w:pPr>
            <w:r w:rsidRPr="009E3D84">
              <w:t xml:space="preserve">Later than one year and not later than five years </w:t>
            </w:r>
          </w:p>
        </w:tc>
        <w:tc>
          <w:tcPr>
            <w:tcW w:w="522" w:type="pct"/>
            <w:shd w:val="clear" w:color="auto" w:fill="EFF4F5"/>
            <w:vAlign w:val="bottom"/>
          </w:tcPr>
          <w:p w14:paraId="085794B9" w14:textId="40C3C23E" w:rsidR="00084289" w:rsidRPr="00D94AEE" w:rsidRDefault="00DA6771" w:rsidP="00D94AEE">
            <w:pPr>
              <w:pStyle w:val="Tabletext"/>
              <w:jc w:val="right"/>
              <w:rPr>
                <w:b/>
              </w:rPr>
            </w:pPr>
            <w:r>
              <w:rPr>
                <w:b/>
              </w:rPr>
              <w:t>250.1</w:t>
            </w:r>
          </w:p>
        </w:tc>
        <w:tc>
          <w:tcPr>
            <w:tcW w:w="523" w:type="pct"/>
            <w:shd w:val="clear" w:color="auto" w:fill="EFF4F5"/>
            <w:vAlign w:val="bottom"/>
          </w:tcPr>
          <w:p w14:paraId="22F13794" w14:textId="41127CAB" w:rsidR="00084289" w:rsidRPr="00D94AEE" w:rsidRDefault="00DA6771" w:rsidP="00D94AEE">
            <w:pPr>
              <w:pStyle w:val="Tabletext"/>
              <w:jc w:val="right"/>
              <w:rPr>
                <w:b/>
              </w:rPr>
            </w:pPr>
            <w:r>
              <w:rPr>
                <w:b/>
              </w:rPr>
              <w:t>1.7</w:t>
            </w:r>
          </w:p>
        </w:tc>
        <w:tc>
          <w:tcPr>
            <w:tcW w:w="521" w:type="pct"/>
            <w:vAlign w:val="bottom"/>
          </w:tcPr>
          <w:p w14:paraId="1AEDEF5A" w14:textId="62B0572E" w:rsidR="00084289" w:rsidRPr="00084289" w:rsidRDefault="00084289" w:rsidP="00D94AEE">
            <w:pPr>
              <w:pStyle w:val="Tabletext"/>
              <w:jc w:val="right"/>
            </w:pPr>
            <w:r w:rsidRPr="00084289">
              <w:t>244.0</w:t>
            </w:r>
          </w:p>
        </w:tc>
        <w:tc>
          <w:tcPr>
            <w:tcW w:w="521" w:type="pct"/>
            <w:vAlign w:val="bottom"/>
          </w:tcPr>
          <w:p w14:paraId="35040738" w14:textId="3C958010" w:rsidR="00084289" w:rsidRPr="009E3D84" w:rsidRDefault="00084289" w:rsidP="00D94AEE">
            <w:pPr>
              <w:pStyle w:val="Tabletext"/>
              <w:jc w:val="right"/>
            </w:pPr>
            <w:r>
              <w:t>1.4</w:t>
            </w:r>
          </w:p>
        </w:tc>
      </w:tr>
      <w:tr w:rsidR="00084289" w:rsidRPr="009E3D84" w14:paraId="6E2E553B" w14:textId="77777777" w:rsidTr="00084289">
        <w:tc>
          <w:tcPr>
            <w:tcW w:w="2913" w:type="pct"/>
            <w:tcBorders>
              <w:bottom w:val="single" w:sz="4" w:space="0" w:color="93B7BB"/>
            </w:tcBorders>
            <w:vAlign w:val="bottom"/>
          </w:tcPr>
          <w:p w14:paraId="6900DC84" w14:textId="77777777" w:rsidR="00084289" w:rsidRPr="009E3D84" w:rsidRDefault="00084289" w:rsidP="00D94AEE">
            <w:pPr>
              <w:pStyle w:val="Tabletext"/>
            </w:pPr>
            <w:r w:rsidRPr="009E3D84">
              <w:t xml:space="preserve">Later than five years </w:t>
            </w:r>
          </w:p>
        </w:tc>
        <w:tc>
          <w:tcPr>
            <w:tcW w:w="522" w:type="pct"/>
            <w:tcBorders>
              <w:bottom w:val="single" w:sz="4" w:space="0" w:color="93B7BB"/>
            </w:tcBorders>
            <w:shd w:val="clear" w:color="auto" w:fill="EFF4F5"/>
            <w:vAlign w:val="bottom"/>
          </w:tcPr>
          <w:p w14:paraId="6118967B" w14:textId="30FF8B68" w:rsidR="00084289" w:rsidRPr="00D94AEE" w:rsidRDefault="00DA6771" w:rsidP="00D94AEE">
            <w:pPr>
              <w:pStyle w:val="Tabletext"/>
              <w:jc w:val="right"/>
              <w:rPr>
                <w:b/>
              </w:rPr>
            </w:pPr>
            <w:r>
              <w:rPr>
                <w:b/>
              </w:rPr>
              <w:t>1,334.2</w:t>
            </w:r>
          </w:p>
        </w:tc>
        <w:tc>
          <w:tcPr>
            <w:tcW w:w="523" w:type="pct"/>
            <w:tcBorders>
              <w:bottom w:val="single" w:sz="4" w:space="0" w:color="93B7BB"/>
            </w:tcBorders>
            <w:shd w:val="clear" w:color="auto" w:fill="EFF4F5"/>
            <w:vAlign w:val="bottom"/>
          </w:tcPr>
          <w:p w14:paraId="0751E76B" w14:textId="715ED84C" w:rsidR="00084289" w:rsidRPr="00DA6771" w:rsidRDefault="00DA6771" w:rsidP="00D94AEE">
            <w:pPr>
              <w:pStyle w:val="Tabletext"/>
              <w:jc w:val="right"/>
              <w:rPr>
                <w:b/>
              </w:rPr>
            </w:pPr>
            <w:r w:rsidRPr="00DA6771">
              <w:rPr>
                <w:b/>
              </w:rPr>
              <w:t>–</w:t>
            </w:r>
          </w:p>
        </w:tc>
        <w:tc>
          <w:tcPr>
            <w:tcW w:w="521" w:type="pct"/>
            <w:tcBorders>
              <w:bottom w:val="single" w:sz="4" w:space="0" w:color="93B7BB"/>
            </w:tcBorders>
            <w:vAlign w:val="bottom"/>
          </w:tcPr>
          <w:p w14:paraId="6C27BB93" w14:textId="7972B6E0" w:rsidR="00084289" w:rsidRPr="00084289" w:rsidRDefault="00084289" w:rsidP="00D94AEE">
            <w:pPr>
              <w:pStyle w:val="Tabletext"/>
              <w:jc w:val="right"/>
            </w:pPr>
            <w:r w:rsidRPr="00084289">
              <w:t>1,353.0</w:t>
            </w:r>
          </w:p>
        </w:tc>
        <w:tc>
          <w:tcPr>
            <w:tcW w:w="521" w:type="pct"/>
            <w:tcBorders>
              <w:bottom w:val="single" w:sz="4" w:space="0" w:color="93B7BB"/>
            </w:tcBorders>
            <w:vAlign w:val="bottom"/>
          </w:tcPr>
          <w:p w14:paraId="4B53F016" w14:textId="023F65BD" w:rsidR="00084289" w:rsidRPr="0037370C" w:rsidRDefault="00084289" w:rsidP="00D94AEE">
            <w:pPr>
              <w:pStyle w:val="Tabletext"/>
              <w:jc w:val="right"/>
            </w:pPr>
            <w:r w:rsidRPr="0037370C">
              <w:t>–</w:t>
            </w:r>
          </w:p>
        </w:tc>
      </w:tr>
      <w:tr w:rsidR="00084289" w:rsidRPr="009E3D84" w14:paraId="5ACC240E" w14:textId="77777777" w:rsidTr="00084289">
        <w:tc>
          <w:tcPr>
            <w:tcW w:w="2913" w:type="pct"/>
            <w:tcBorders>
              <w:top w:val="single" w:sz="4" w:space="0" w:color="93B7BB"/>
              <w:bottom w:val="single" w:sz="4" w:space="0" w:color="93B7BB"/>
            </w:tcBorders>
            <w:vAlign w:val="bottom"/>
          </w:tcPr>
          <w:p w14:paraId="02889F17" w14:textId="77777777" w:rsidR="00084289" w:rsidRPr="009E3D84" w:rsidRDefault="00084289" w:rsidP="00D94AEE">
            <w:pPr>
              <w:pStyle w:val="Tabletext"/>
            </w:pPr>
          </w:p>
        </w:tc>
        <w:tc>
          <w:tcPr>
            <w:tcW w:w="522" w:type="pct"/>
            <w:tcBorders>
              <w:top w:val="single" w:sz="4" w:space="0" w:color="93B7BB"/>
              <w:bottom w:val="single" w:sz="4" w:space="0" w:color="93B7BB"/>
            </w:tcBorders>
            <w:shd w:val="clear" w:color="auto" w:fill="EFF4F5"/>
            <w:vAlign w:val="bottom"/>
          </w:tcPr>
          <w:p w14:paraId="4E4BE323" w14:textId="5693E82D" w:rsidR="00084289" w:rsidRPr="00D94AEE" w:rsidRDefault="00DA6771" w:rsidP="00D94AEE">
            <w:pPr>
              <w:pStyle w:val="Tabletext"/>
              <w:jc w:val="right"/>
              <w:rPr>
                <w:b/>
              </w:rPr>
            </w:pPr>
            <w:r>
              <w:rPr>
                <w:b/>
              </w:rPr>
              <w:t>1,647.2</w:t>
            </w:r>
          </w:p>
        </w:tc>
        <w:tc>
          <w:tcPr>
            <w:tcW w:w="523" w:type="pct"/>
            <w:tcBorders>
              <w:top w:val="single" w:sz="4" w:space="0" w:color="93B7BB"/>
              <w:bottom w:val="single" w:sz="4" w:space="0" w:color="93B7BB"/>
            </w:tcBorders>
            <w:shd w:val="clear" w:color="auto" w:fill="EFF4F5"/>
            <w:vAlign w:val="bottom"/>
          </w:tcPr>
          <w:p w14:paraId="50558EE2" w14:textId="7D4579BE" w:rsidR="00084289" w:rsidRPr="00D94AEE" w:rsidRDefault="00DA6771" w:rsidP="00D94AEE">
            <w:pPr>
              <w:pStyle w:val="Tabletext"/>
              <w:jc w:val="right"/>
              <w:rPr>
                <w:b/>
              </w:rPr>
            </w:pPr>
            <w:r>
              <w:rPr>
                <w:b/>
              </w:rPr>
              <w:t>2.6</w:t>
            </w:r>
          </w:p>
        </w:tc>
        <w:tc>
          <w:tcPr>
            <w:tcW w:w="521" w:type="pct"/>
            <w:tcBorders>
              <w:top w:val="single" w:sz="4" w:space="0" w:color="93B7BB"/>
              <w:bottom w:val="single" w:sz="4" w:space="0" w:color="93B7BB"/>
            </w:tcBorders>
            <w:vAlign w:val="bottom"/>
          </w:tcPr>
          <w:p w14:paraId="7D57446C" w14:textId="3B97E034" w:rsidR="00084289" w:rsidRPr="00084289" w:rsidRDefault="00084289" w:rsidP="00D94AEE">
            <w:pPr>
              <w:pStyle w:val="Tabletext"/>
              <w:jc w:val="right"/>
            </w:pPr>
            <w:r w:rsidRPr="00084289">
              <w:t>1,658.9</w:t>
            </w:r>
          </w:p>
        </w:tc>
        <w:tc>
          <w:tcPr>
            <w:tcW w:w="521" w:type="pct"/>
            <w:tcBorders>
              <w:top w:val="single" w:sz="4" w:space="0" w:color="93B7BB"/>
              <w:bottom w:val="single" w:sz="4" w:space="0" w:color="93B7BB"/>
            </w:tcBorders>
            <w:vAlign w:val="bottom"/>
          </w:tcPr>
          <w:p w14:paraId="17E8D8A6" w14:textId="4D0539B2" w:rsidR="00084289" w:rsidRPr="009E3D84" w:rsidRDefault="00084289" w:rsidP="00D94AEE">
            <w:pPr>
              <w:pStyle w:val="Tabletext"/>
              <w:jc w:val="right"/>
            </w:pPr>
            <w:r>
              <w:t>2.1</w:t>
            </w:r>
          </w:p>
        </w:tc>
      </w:tr>
    </w:tbl>
    <w:p w14:paraId="64901F6D" w14:textId="77777777" w:rsidR="00D94AEE" w:rsidRDefault="00D94AEE" w:rsidP="00D94AEE">
      <w:pPr>
        <w:pStyle w:val="Footnote"/>
      </w:pPr>
    </w:p>
    <w:p w14:paraId="47CB3834" w14:textId="62F041D6" w:rsidR="00004F63" w:rsidRPr="009E3D84" w:rsidRDefault="00DA6771" w:rsidP="00E84628">
      <w:pPr>
        <w:jc w:val="both"/>
      </w:pPr>
      <w:r>
        <w:t>T</w:t>
      </w:r>
      <w:r w:rsidR="00004F63" w:rsidRPr="009E3D84">
        <w:t xml:space="preserve">he Group has </w:t>
      </w:r>
      <w:r w:rsidR="009E2BFB">
        <w:t xml:space="preserve">a number of </w:t>
      </w:r>
      <w:r w:rsidR="00004F63" w:rsidRPr="009E3D84">
        <w:t>long-term institutional lease arrangements</w:t>
      </w:r>
      <w:r w:rsidR="009E2BFB">
        <w:t>.</w:t>
      </w:r>
      <w:r w:rsidR="00004F63" w:rsidRPr="009E3D84">
        <w:t xml:space="preserve"> </w:t>
      </w:r>
      <w:r w:rsidR="00470DAB">
        <w:t xml:space="preserve">These include leases over 12 properties with a term </w:t>
      </w:r>
      <w:r w:rsidR="00470DAB" w:rsidRPr="009E3D84">
        <w:t>up to December 2042, subject to renewal or extension</w:t>
      </w:r>
      <w:r w:rsidR="00470DAB">
        <w:t xml:space="preserve"> over each of the </w:t>
      </w:r>
      <w:r w:rsidR="00470DAB" w:rsidRPr="009E3D84">
        <w:t>12 properties</w:t>
      </w:r>
      <w:r w:rsidR="00004F63" w:rsidRPr="009E3D84">
        <w:t xml:space="preserve">. The leases include key terms such as annual rental covenants and minimum levels of capital expenditure invested by the Group. Rent is indexed annually in line with RPI, subject to a floor of 0.0% and a cap of 5.0%. The capital expenditure covenants measured on an average basis over each five-year period during the term of the </w:t>
      </w:r>
      <w:proofErr w:type="gramStart"/>
      <w:r w:rsidR="00004F63" w:rsidRPr="009E3D84">
        <w:t>leases,</w:t>
      </w:r>
      <w:proofErr w:type="gramEnd"/>
      <w:r w:rsidR="00004F63" w:rsidRPr="009E3D84">
        <w:t xml:space="preserve"> require the Group to incur, in total, £5.0 million of maintenance capital expenditure and £3.0 million of additional capital expenditure each year, such being subject to indexation in line with RPI.</w:t>
      </w:r>
    </w:p>
    <w:p w14:paraId="5A37F888" w14:textId="77777777" w:rsidR="00004F63" w:rsidRPr="009E3D84" w:rsidRDefault="00004F63" w:rsidP="00D94AEE">
      <w:pPr>
        <w:pStyle w:val="Heading4"/>
      </w:pPr>
      <w:r w:rsidRPr="009E3D84">
        <w:t>Capital expenditure commitments</w:t>
      </w:r>
    </w:p>
    <w:p w14:paraId="30466AD9" w14:textId="616C7DF0" w:rsidR="00004F63" w:rsidRPr="009E3D84" w:rsidRDefault="00004F63" w:rsidP="00E84628">
      <w:pPr>
        <w:jc w:val="both"/>
      </w:pPr>
      <w:r w:rsidRPr="009E3D84">
        <w:t>Capital commitments comprise amounts payable under capital contracts which are duly authorised and in progress at the balance sheet date. They include the full cost of goods and services to be provided under the contracts through to completion. The Group has rights within its contracts to terminate at short notice and</w:t>
      </w:r>
      <w:r w:rsidR="00566A71">
        <w:t>,</w:t>
      </w:r>
      <w:r w:rsidRPr="009E3D84">
        <w:t xml:space="preserve"> therefore</w:t>
      </w:r>
      <w:r w:rsidR="00566A71">
        <w:t>,</w:t>
      </w:r>
      <w:r w:rsidRPr="009E3D84">
        <w:t xml:space="preserve"> cancellation payments are minimal.</w:t>
      </w:r>
    </w:p>
    <w:p w14:paraId="187DE0D3" w14:textId="77777777" w:rsidR="00004F63" w:rsidRPr="009E3D84" w:rsidRDefault="00004F63" w:rsidP="00D94AEE">
      <w:r w:rsidRPr="009E3D84">
        <w:t>Capital commitments at the end of the year were as follows:</w:t>
      </w:r>
    </w:p>
    <w:tbl>
      <w:tblPr>
        <w:tblW w:w="9072" w:type="dxa"/>
        <w:tblLayout w:type="fixed"/>
        <w:tblCellMar>
          <w:left w:w="0" w:type="dxa"/>
          <w:right w:w="57" w:type="dxa"/>
        </w:tblCellMar>
        <w:tblLook w:val="0000" w:firstRow="0" w:lastRow="0" w:firstColumn="0" w:lastColumn="0" w:noHBand="0" w:noVBand="0"/>
      </w:tblPr>
      <w:tblGrid>
        <w:gridCol w:w="6634"/>
        <w:gridCol w:w="1219"/>
        <w:gridCol w:w="1219"/>
      </w:tblGrid>
      <w:tr w:rsidR="009E3D84" w:rsidRPr="009E3D84" w14:paraId="5D3F9DDB" w14:textId="77777777" w:rsidTr="00D94AEE">
        <w:tc>
          <w:tcPr>
            <w:tcW w:w="6263" w:type="dxa"/>
            <w:tcBorders>
              <w:bottom w:val="single" w:sz="4" w:space="0" w:color="93B7BB"/>
            </w:tcBorders>
            <w:vAlign w:val="bottom"/>
          </w:tcPr>
          <w:p w14:paraId="3026B7E6" w14:textId="77777777" w:rsidR="00004F63" w:rsidRPr="00D94AEE" w:rsidRDefault="00D94AEE" w:rsidP="00D94AEE">
            <w:pPr>
              <w:pStyle w:val="Tableheading"/>
            </w:pPr>
            <w:r w:rsidRPr="00D94AEE">
              <w:t>(£ million)</w:t>
            </w:r>
          </w:p>
        </w:tc>
        <w:tc>
          <w:tcPr>
            <w:tcW w:w="1151" w:type="dxa"/>
            <w:tcBorders>
              <w:bottom w:val="single" w:sz="4" w:space="0" w:color="93B7BB"/>
            </w:tcBorders>
            <w:vAlign w:val="bottom"/>
          </w:tcPr>
          <w:p w14:paraId="5869C3B3" w14:textId="1F59B3D7" w:rsidR="00004F63" w:rsidRPr="00D94AEE" w:rsidRDefault="00004F63" w:rsidP="00E84628">
            <w:pPr>
              <w:pStyle w:val="Tableheading"/>
              <w:jc w:val="right"/>
              <w:rPr>
                <w:b/>
              </w:rPr>
            </w:pPr>
            <w:r w:rsidRPr="00D94AEE">
              <w:rPr>
                <w:b/>
              </w:rPr>
              <w:t>201</w:t>
            </w:r>
            <w:r w:rsidR="00E84628">
              <w:rPr>
                <w:b/>
              </w:rPr>
              <w:t>5</w:t>
            </w:r>
          </w:p>
        </w:tc>
        <w:tc>
          <w:tcPr>
            <w:tcW w:w="1151" w:type="dxa"/>
            <w:tcBorders>
              <w:bottom w:val="single" w:sz="4" w:space="0" w:color="93B7BB"/>
            </w:tcBorders>
            <w:vAlign w:val="bottom"/>
          </w:tcPr>
          <w:p w14:paraId="6C859F5D" w14:textId="51F0E800" w:rsidR="00004F63" w:rsidRPr="00D94AEE" w:rsidRDefault="00004F63" w:rsidP="00E84628">
            <w:pPr>
              <w:pStyle w:val="Tableheading"/>
              <w:jc w:val="right"/>
            </w:pPr>
            <w:r w:rsidRPr="00D94AEE">
              <w:t>201</w:t>
            </w:r>
            <w:r w:rsidR="00E84628">
              <w:t>4</w:t>
            </w:r>
          </w:p>
        </w:tc>
      </w:tr>
      <w:tr w:rsidR="009E3D84" w:rsidRPr="009E3D84" w14:paraId="2E984C65" w14:textId="77777777" w:rsidTr="00D94AEE">
        <w:tc>
          <w:tcPr>
            <w:tcW w:w="6263" w:type="dxa"/>
            <w:tcBorders>
              <w:top w:val="single" w:sz="4" w:space="0" w:color="93B7BB"/>
              <w:bottom w:val="single" w:sz="4" w:space="0" w:color="93B7BB"/>
            </w:tcBorders>
          </w:tcPr>
          <w:p w14:paraId="6C97CA20" w14:textId="77777777" w:rsidR="00004F63" w:rsidRPr="009E3D84" w:rsidRDefault="00004F63" w:rsidP="00D94AEE">
            <w:pPr>
              <w:pStyle w:val="Tabletext"/>
              <w:rPr>
                <w:lang w:val="en-US" w:eastAsia="nl-NL"/>
              </w:rPr>
            </w:pPr>
            <w:r w:rsidRPr="009E3D84">
              <w:t>Contracted but not provided for</w:t>
            </w:r>
          </w:p>
        </w:tc>
        <w:tc>
          <w:tcPr>
            <w:tcW w:w="1151" w:type="dxa"/>
            <w:tcBorders>
              <w:top w:val="single" w:sz="4" w:space="0" w:color="93B7BB"/>
              <w:bottom w:val="single" w:sz="4" w:space="0" w:color="93B7BB"/>
            </w:tcBorders>
            <w:shd w:val="clear" w:color="auto" w:fill="EFF4F5"/>
            <w:vAlign w:val="bottom"/>
          </w:tcPr>
          <w:p w14:paraId="1632193A" w14:textId="1EE72B46" w:rsidR="00004F63" w:rsidRPr="00D94AEE" w:rsidRDefault="00DA6771" w:rsidP="00D94AEE">
            <w:pPr>
              <w:pStyle w:val="Tabletext"/>
              <w:jc w:val="right"/>
              <w:rPr>
                <w:b/>
              </w:rPr>
            </w:pPr>
            <w:r>
              <w:rPr>
                <w:b/>
              </w:rPr>
              <w:t>39.4</w:t>
            </w:r>
          </w:p>
        </w:tc>
        <w:tc>
          <w:tcPr>
            <w:tcW w:w="1151" w:type="dxa"/>
            <w:tcBorders>
              <w:top w:val="single" w:sz="4" w:space="0" w:color="93B7BB"/>
              <w:bottom w:val="single" w:sz="4" w:space="0" w:color="93B7BB"/>
            </w:tcBorders>
            <w:vAlign w:val="bottom"/>
          </w:tcPr>
          <w:p w14:paraId="1AFE7341" w14:textId="707E7821" w:rsidR="00004F63" w:rsidRPr="00E84628" w:rsidRDefault="00E84628" w:rsidP="00E84628">
            <w:pPr>
              <w:pStyle w:val="Tabletext"/>
              <w:jc w:val="right"/>
            </w:pPr>
            <w:r w:rsidRPr="00E84628">
              <w:t>6.4</w:t>
            </w:r>
          </w:p>
        </w:tc>
      </w:tr>
    </w:tbl>
    <w:p w14:paraId="23B798FB" w14:textId="77777777" w:rsidR="00004F63" w:rsidRPr="00112B41" w:rsidRDefault="00004F63" w:rsidP="00D94AEE">
      <w:pPr>
        <w:pStyle w:val="Footnote"/>
      </w:pPr>
    </w:p>
    <w:p w14:paraId="5574AA4D" w14:textId="7C3D6474" w:rsidR="00004F63" w:rsidRPr="009E3D84" w:rsidRDefault="00364452" w:rsidP="00364452">
      <w:pPr>
        <w:pStyle w:val="Heading3"/>
      </w:pPr>
      <w:r>
        <w:t>2</w:t>
      </w:r>
      <w:r w:rsidR="00356462">
        <w:t>2</w:t>
      </w:r>
      <w:r>
        <w:t xml:space="preserve">. </w:t>
      </w:r>
      <w:r w:rsidR="00004F63" w:rsidRPr="009E3D84">
        <w:t>Contingent liabilities</w:t>
      </w:r>
    </w:p>
    <w:p w14:paraId="77B632FF" w14:textId="7566CB0E" w:rsidR="00004F63" w:rsidRPr="009E3D84" w:rsidRDefault="00004F63" w:rsidP="00D94AEE">
      <w:r w:rsidRPr="009E3D84">
        <w:t>The Group had the following guarantees at 31 December 201</w:t>
      </w:r>
      <w:r w:rsidR="000B42F0">
        <w:t>5</w:t>
      </w:r>
      <w:r w:rsidRPr="009E3D84">
        <w:t>:</w:t>
      </w:r>
    </w:p>
    <w:p w14:paraId="23CF577A" w14:textId="048027F4" w:rsidR="00004F63" w:rsidRPr="009E3D84" w:rsidRDefault="00004F63" w:rsidP="000B42F0">
      <w:pPr>
        <w:pStyle w:val="Bullet1"/>
        <w:jc w:val="both"/>
      </w:pPr>
      <w:r w:rsidRPr="009E3D84">
        <w:t xml:space="preserve">Spire Healthcare Limited, a subsidiary undertaking of the </w:t>
      </w:r>
      <w:r w:rsidR="00EB5420">
        <w:t>Company</w:t>
      </w:r>
      <w:r w:rsidRPr="009E3D84">
        <w:t>, has entered into an Authorised Guarantee Agreement (</w:t>
      </w:r>
      <w:r w:rsidR="00895EAB">
        <w:t>‘</w:t>
      </w:r>
      <w:r w:rsidRPr="009E3D84">
        <w:t>AGA</w:t>
      </w:r>
      <w:r w:rsidR="00895EAB">
        <w:t>’</w:t>
      </w:r>
      <w:r w:rsidRPr="009E3D84">
        <w:t xml:space="preserve">) with regard to the premises of the former customer contact centre at Victoria Harbour City, Manchester. Under the AGA, Spire Healthcare Limited will act as a guarantor to the new tenants until the end of the lease term, </w:t>
      </w:r>
      <w:r w:rsidR="00EB5420">
        <w:t xml:space="preserve">in </w:t>
      </w:r>
      <w:r w:rsidRPr="009E3D84">
        <w:t>January 2016. The maximum contingent liability at the balance sheet date was £</w:t>
      </w:r>
      <w:r w:rsidR="00DA6771">
        <w:t>0.3</w:t>
      </w:r>
      <w:r w:rsidRPr="009E3D84">
        <w:t xml:space="preserve"> million (201</w:t>
      </w:r>
      <w:r w:rsidR="000B42F0">
        <w:t>4</w:t>
      </w:r>
      <w:r w:rsidRPr="009E3D84">
        <w:t>: £</w:t>
      </w:r>
      <w:r w:rsidR="000B42F0">
        <w:t>0.8</w:t>
      </w:r>
      <w:r w:rsidRPr="009E3D84">
        <w:t xml:space="preserve"> million)</w:t>
      </w:r>
      <w:r w:rsidR="00DA6771">
        <w:t xml:space="preserve">. </w:t>
      </w:r>
      <w:r w:rsidR="00781A1E">
        <w:t xml:space="preserve">The guarantee has since lapsed and </w:t>
      </w:r>
      <w:r w:rsidR="00781A1E" w:rsidRPr="00A55949">
        <w:t>Spire</w:t>
      </w:r>
      <w:r w:rsidR="00781A1E">
        <w:t xml:space="preserve"> </w:t>
      </w:r>
      <w:r w:rsidR="00781A1E" w:rsidRPr="00A55949">
        <w:t>Healthcare</w:t>
      </w:r>
      <w:r w:rsidR="00781A1E">
        <w:t xml:space="preserve"> </w:t>
      </w:r>
      <w:r w:rsidR="00781A1E" w:rsidRPr="00A55949">
        <w:t>Limited</w:t>
      </w:r>
      <w:r w:rsidR="00781A1E">
        <w:t xml:space="preserve"> is no longer liable to any </w:t>
      </w:r>
      <w:r w:rsidR="00781A1E" w:rsidRPr="00A55949">
        <w:t>contingent</w:t>
      </w:r>
      <w:r w:rsidR="00781A1E">
        <w:t xml:space="preserve"> </w:t>
      </w:r>
      <w:r w:rsidR="00781A1E" w:rsidRPr="00A55949">
        <w:t>liability</w:t>
      </w:r>
      <w:r w:rsidRPr="009E3D84">
        <w:t>.</w:t>
      </w:r>
    </w:p>
    <w:p w14:paraId="645B9A17" w14:textId="5F0E3298" w:rsidR="00004F63" w:rsidRPr="009E3D84" w:rsidRDefault="00004F63" w:rsidP="000B42F0">
      <w:pPr>
        <w:pStyle w:val="Bullet1"/>
        <w:jc w:val="both"/>
      </w:pPr>
      <w:r w:rsidRPr="009E3D84">
        <w:t>The bankers to Spire Healthcare Limited have issued a letter of credit in the maximum amount of £1.5 million (201</w:t>
      </w:r>
      <w:r w:rsidR="000B42F0">
        <w:t>4</w:t>
      </w:r>
      <w:r w:rsidRPr="009E3D84">
        <w:t xml:space="preserve">: £1.5 million) in relation to contractual pension obligations and statutory insurance cover in respect of the Group’s potential liability to claims made by employees under </w:t>
      </w:r>
      <w:r w:rsidR="00DC1808">
        <w:t>t</w:t>
      </w:r>
      <w:r w:rsidRPr="009E3D84">
        <w:t>he Employers’ Liability (Compulsory Insurance) Act 1969.</w:t>
      </w:r>
    </w:p>
    <w:p w14:paraId="29335C18" w14:textId="77777777" w:rsidR="00004F63" w:rsidRPr="009E3D84" w:rsidRDefault="00004F63" w:rsidP="000B42F0">
      <w:pPr>
        <w:pStyle w:val="Bullet1"/>
        <w:jc w:val="both"/>
      </w:pPr>
      <w:r w:rsidRPr="009E3D84">
        <w:t>Under certain lease agreements entered into on 26 January 2010, the Group has given undertakings relating to obligations in the lease documentation and the assets of the Group are subject to a fixed and floating charge.</w:t>
      </w:r>
    </w:p>
    <w:p w14:paraId="27253BA3" w14:textId="77777777" w:rsidR="00AF5149" w:rsidRDefault="00AF5149">
      <w:pPr>
        <w:spacing w:after="160" w:line="259" w:lineRule="auto"/>
        <w:rPr>
          <w:rFonts w:asciiTheme="majorHAnsi" w:eastAsiaTheme="majorEastAsia" w:hAnsiTheme="majorHAnsi" w:cstheme="majorBidi"/>
          <w:b/>
          <w:caps/>
          <w:color w:val="93B6BB"/>
          <w:szCs w:val="24"/>
        </w:rPr>
      </w:pPr>
      <w:r>
        <w:br w:type="page"/>
      </w:r>
    </w:p>
    <w:p w14:paraId="3260C23C" w14:textId="6F5BA64E" w:rsidR="00004F63" w:rsidRPr="009E3D84" w:rsidRDefault="00364452" w:rsidP="00D94AEE">
      <w:pPr>
        <w:pStyle w:val="Heading3"/>
      </w:pPr>
      <w:r>
        <w:lastRenderedPageBreak/>
        <w:t>2</w:t>
      </w:r>
      <w:r w:rsidR="00356462">
        <w:t>3</w:t>
      </w:r>
      <w:r>
        <w:t xml:space="preserve">. </w:t>
      </w:r>
      <w:r w:rsidR="00004F63" w:rsidRPr="009E3D84">
        <w:t>Related party transactions</w:t>
      </w:r>
    </w:p>
    <w:p w14:paraId="72D7891C" w14:textId="77777777" w:rsidR="00004F63" w:rsidRPr="009E3D84" w:rsidRDefault="00004F63" w:rsidP="00D94AEE">
      <w:pPr>
        <w:pStyle w:val="Heading4"/>
      </w:pPr>
      <w:r w:rsidRPr="009E3D84">
        <w:t>Trading transactions</w:t>
      </w:r>
    </w:p>
    <w:p w14:paraId="51B3F87F" w14:textId="77777777" w:rsidR="00004F63" w:rsidRDefault="00004F63" w:rsidP="00D94AEE">
      <w:r w:rsidRPr="009E3D84">
        <w:t>Group companies entered into the following transactions:</w:t>
      </w:r>
    </w:p>
    <w:tbl>
      <w:tblPr>
        <w:tblW w:w="9072" w:type="dxa"/>
        <w:tblLayout w:type="fixed"/>
        <w:tblCellMar>
          <w:left w:w="0" w:type="dxa"/>
          <w:right w:w="57" w:type="dxa"/>
        </w:tblCellMar>
        <w:tblLook w:val="0000" w:firstRow="0" w:lastRow="0" w:firstColumn="0" w:lastColumn="0" w:noHBand="0" w:noVBand="0"/>
      </w:tblPr>
      <w:tblGrid>
        <w:gridCol w:w="3409"/>
        <w:gridCol w:w="3260"/>
        <w:gridCol w:w="11"/>
        <w:gridCol w:w="1196"/>
        <w:gridCol w:w="1196"/>
      </w:tblGrid>
      <w:tr w:rsidR="00A12687" w:rsidRPr="00066035" w14:paraId="601763C2" w14:textId="77777777" w:rsidTr="00D94AEE">
        <w:tc>
          <w:tcPr>
            <w:tcW w:w="1879" w:type="pct"/>
            <w:tcBorders>
              <w:bottom w:val="single" w:sz="4" w:space="0" w:color="93B7BB"/>
            </w:tcBorders>
            <w:vAlign w:val="bottom"/>
          </w:tcPr>
          <w:p w14:paraId="00510DC3" w14:textId="77777777" w:rsidR="00A12687" w:rsidRPr="00066035" w:rsidRDefault="00A12687" w:rsidP="00D94AEE">
            <w:pPr>
              <w:pStyle w:val="Tableheading"/>
            </w:pPr>
            <w:r w:rsidRPr="00066035">
              <w:t>(£ million)</w:t>
            </w:r>
          </w:p>
          <w:p w14:paraId="40899B5A" w14:textId="77777777" w:rsidR="00A12687" w:rsidRPr="00066035" w:rsidRDefault="008079E9" w:rsidP="00D94AEE">
            <w:pPr>
              <w:pStyle w:val="Tableheading"/>
            </w:pPr>
            <w:r w:rsidRPr="009E3D84">
              <w:t>Counterparty</w:t>
            </w:r>
          </w:p>
        </w:tc>
        <w:tc>
          <w:tcPr>
            <w:tcW w:w="1803" w:type="pct"/>
            <w:gridSpan w:val="2"/>
            <w:tcBorders>
              <w:bottom w:val="single" w:sz="4" w:space="0" w:color="93B7BB"/>
            </w:tcBorders>
            <w:vAlign w:val="bottom"/>
          </w:tcPr>
          <w:p w14:paraId="7A19974C" w14:textId="77777777" w:rsidR="00A12687" w:rsidRPr="00753648" w:rsidRDefault="00A12687" w:rsidP="00D94AEE">
            <w:pPr>
              <w:pStyle w:val="Tableheading"/>
            </w:pPr>
            <w:r w:rsidRPr="00587138">
              <w:t>Nature of relationship</w:t>
            </w:r>
          </w:p>
        </w:tc>
        <w:tc>
          <w:tcPr>
            <w:tcW w:w="659" w:type="pct"/>
            <w:tcBorders>
              <w:bottom w:val="single" w:sz="4" w:space="0" w:color="93B7BB"/>
            </w:tcBorders>
            <w:vAlign w:val="bottom"/>
          </w:tcPr>
          <w:p w14:paraId="42CE3166" w14:textId="22E0D9D6" w:rsidR="00A12687" w:rsidRPr="00D94AEE" w:rsidRDefault="008079E9" w:rsidP="00E56C5B">
            <w:pPr>
              <w:pStyle w:val="Tableheading"/>
              <w:jc w:val="right"/>
              <w:rPr>
                <w:b/>
                <w:iCs/>
              </w:rPr>
            </w:pPr>
            <w:r w:rsidRPr="00D94AEE">
              <w:rPr>
                <w:b/>
                <w:iCs/>
              </w:rPr>
              <w:t>201</w:t>
            </w:r>
            <w:r w:rsidR="00E56C5B">
              <w:rPr>
                <w:b/>
                <w:iCs/>
              </w:rPr>
              <w:t>5</w:t>
            </w:r>
          </w:p>
        </w:tc>
        <w:tc>
          <w:tcPr>
            <w:tcW w:w="659" w:type="pct"/>
            <w:tcBorders>
              <w:bottom w:val="single" w:sz="4" w:space="0" w:color="93B7BB"/>
            </w:tcBorders>
            <w:vAlign w:val="bottom"/>
          </w:tcPr>
          <w:p w14:paraId="7B49FA61" w14:textId="3602DF94" w:rsidR="00A12687" w:rsidRPr="00066035" w:rsidRDefault="00D94AEE" w:rsidP="00E56C5B">
            <w:pPr>
              <w:pStyle w:val="Tableheading"/>
              <w:jc w:val="right"/>
              <w:rPr>
                <w:iCs/>
              </w:rPr>
            </w:pPr>
            <w:r>
              <w:rPr>
                <w:iCs/>
              </w:rPr>
              <w:t>201</w:t>
            </w:r>
            <w:r w:rsidR="00E56C5B">
              <w:rPr>
                <w:iCs/>
              </w:rPr>
              <w:t>4</w:t>
            </w:r>
          </w:p>
        </w:tc>
      </w:tr>
      <w:tr w:rsidR="008079E9" w:rsidRPr="00066035" w14:paraId="20161DE7" w14:textId="77777777" w:rsidTr="00D94AEE">
        <w:tc>
          <w:tcPr>
            <w:tcW w:w="1879" w:type="pct"/>
            <w:tcBorders>
              <w:top w:val="single" w:sz="4" w:space="0" w:color="93B7BB"/>
            </w:tcBorders>
            <w:vAlign w:val="bottom"/>
          </w:tcPr>
          <w:p w14:paraId="7C5AE184" w14:textId="3D88B1B0" w:rsidR="008079E9" w:rsidRPr="009E3D84" w:rsidRDefault="008079E9" w:rsidP="00D94AEE">
            <w:pPr>
              <w:pStyle w:val="Tabletext"/>
            </w:pPr>
            <w:r w:rsidRPr="009E3D84">
              <w:t>Former parent undertakings:</w:t>
            </w:r>
          </w:p>
        </w:tc>
        <w:tc>
          <w:tcPr>
            <w:tcW w:w="1797" w:type="pct"/>
            <w:tcBorders>
              <w:top w:val="single" w:sz="4" w:space="0" w:color="93B7BB"/>
            </w:tcBorders>
            <w:vAlign w:val="bottom"/>
          </w:tcPr>
          <w:p w14:paraId="458A6F34" w14:textId="77777777" w:rsidR="008079E9" w:rsidRPr="009E3D84" w:rsidRDefault="008079E9" w:rsidP="00D94AEE">
            <w:pPr>
              <w:pStyle w:val="Tabletext"/>
            </w:pPr>
          </w:p>
        </w:tc>
        <w:tc>
          <w:tcPr>
            <w:tcW w:w="665" w:type="pct"/>
            <w:gridSpan w:val="2"/>
            <w:tcBorders>
              <w:top w:val="single" w:sz="4" w:space="0" w:color="93B7BB"/>
            </w:tcBorders>
            <w:shd w:val="clear" w:color="auto" w:fill="EFF4F5"/>
            <w:vAlign w:val="bottom"/>
          </w:tcPr>
          <w:p w14:paraId="6AD8E73E" w14:textId="77777777" w:rsidR="008079E9" w:rsidRPr="00D94AEE" w:rsidRDefault="008079E9" w:rsidP="00D94AEE">
            <w:pPr>
              <w:pStyle w:val="Tabletext"/>
              <w:jc w:val="right"/>
              <w:rPr>
                <w:b/>
              </w:rPr>
            </w:pPr>
          </w:p>
        </w:tc>
        <w:tc>
          <w:tcPr>
            <w:tcW w:w="659" w:type="pct"/>
            <w:tcBorders>
              <w:top w:val="single" w:sz="4" w:space="0" w:color="93B7BB"/>
            </w:tcBorders>
            <w:vAlign w:val="bottom"/>
          </w:tcPr>
          <w:p w14:paraId="1E2C2F0F" w14:textId="77777777" w:rsidR="008079E9" w:rsidRPr="009E3D84" w:rsidRDefault="008079E9" w:rsidP="00D94AEE">
            <w:pPr>
              <w:pStyle w:val="Tabletext"/>
              <w:jc w:val="right"/>
            </w:pPr>
          </w:p>
        </w:tc>
      </w:tr>
      <w:tr w:rsidR="00E56C5B" w:rsidRPr="00066035" w14:paraId="72031F79" w14:textId="77777777" w:rsidTr="00D94AEE">
        <w:tc>
          <w:tcPr>
            <w:tcW w:w="1879" w:type="pct"/>
            <w:vAlign w:val="bottom"/>
          </w:tcPr>
          <w:p w14:paraId="0B85FD64" w14:textId="77777777" w:rsidR="00E56C5B" w:rsidRPr="009E3D84" w:rsidRDefault="00E56C5B" w:rsidP="00D94AEE">
            <w:pPr>
              <w:pStyle w:val="Tabletextindented"/>
            </w:pPr>
            <w:r w:rsidRPr="009E3D84">
              <w:t>Cinven Limited</w:t>
            </w:r>
          </w:p>
        </w:tc>
        <w:tc>
          <w:tcPr>
            <w:tcW w:w="1797" w:type="pct"/>
            <w:vAlign w:val="bottom"/>
          </w:tcPr>
          <w:p w14:paraId="2E5689F8" w14:textId="77777777" w:rsidR="00E56C5B" w:rsidRPr="009E3D84" w:rsidRDefault="00E56C5B" w:rsidP="00D94AEE">
            <w:pPr>
              <w:pStyle w:val="Tabletext"/>
            </w:pPr>
            <w:r w:rsidRPr="009E3D84">
              <w:t>Monitoring fees *</w:t>
            </w:r>
          </w:p>
        </w:tc>
        <w:tc>
          <w:tcPr>
            <w:tcW w:w="665" w:type="pct"/>
            <w:gridSpan w:val="2"/>
            <w:shd w:val="clear" w:color="auto" w:fill="EFF4F5"/>
            <w:vAlign w:val="bottom"/>
          </w:tcPr>
          <w:p w14:paraId="48F7C21D" w14:textId="21C2627D" w:rsidR="00E56C5B" w:rsidRPr="00D94AEE" w:rsidRDefault="00781A1E" w:rsidP="00D94AEE">
            <w:pPr>
              <w:pStyle w:val="Tabletext"/>
              <w:jc w:val="right"/>
              <w:rPr>
                <w:b/>
                <w:lang w:val="en-US"/>
              </w:rPr>
            </w:pPr>
            <w:r w:rsidRPr="00DA6771">
              <w:rPr>
                <w:b/>
              </w:rPr>
              <w:t>–</w:t>
            </w:r>
          </w:p>
        </w:tc>
        <w:tc>
          <w:tcPr>
            <w:tcW w:w="659" w:type="pct"/>
            <w:vAlign w:val="bottom"/>
          </w:tcPr>
          <w:p w14:paraId="63DEB643" w14:textId="0B537CD7" w:rsidR="00E56C5B" w:rsidRPr="00E56C5B" w:rsidRDefault="00E56C5B" w:rsidP="00D94AEE">
            <w:pPr>
              <w:pStyle w:val="Tabletext"/>
              <w:jc w:val="right"/>
            </w:pPr>
            <w:r w:rsidRPr="00E56C5B">
              <w:rPr>
                <w:lang w:val="en-US"/>
              </w:rPr>
              <w:t>0.4</w:t>
            </w:r>
          </w:p>
        </w:tc>
      </w:tr>
      <w:tr w:rsidR="00E56C5B" w:rsidRPr="00066035" w14:paraId="4EC5AC1A" w14:textId="77777777" w:rsidTr="00D94AEE">
        <w:tc>
          <w:tcPr>
            <w:tcW w:w="1879" w:type="pct"/>
            <w:vAlign w:val="bottom"/>
          </w:tcPr>
          <w:p w14:paraId="7CDB5DD0" w14:textId="77777777" w:rsidR="00E56C5B" w:rsidRPr="009E3D84" w:rsidRDefault="00E56C5B" w:rsidP="00D94AEE">
            <w:pPr>
              <w:pStyle w:val="Tabletextindented"/>
            </w:pPr>
            <w:r w:rsidRPr="009E3D84">
              <w:t>Rozier Finco Limited</w:t>
            </w:r>
          </w:p>
        </w:tc>
        <w:tc>
          <w:tcPr>
            <w:tcW w:w="1797" w:type="pct"/>
            <w:vAlign w:val="bottom"/>
          </w:tcPr>
          <w:p w14:paraId="06AAF452" w14:textId="77777777" w:rsidR="00E56C5B" w:rsidRPr="009E3D84" w:rsidRDefault="00E56C5B" w:rsidP="00D94AEE">
            <w:pPr>
              <w:pStyle w:val="Tabletext"/>
            </w:pPr>
            <w:r w:rsidRPr="009E3D84">
              <w:t>Interest payable</w:t>
            </w:r>
          </w:p>
        </w:tc>
        <w:tc>
          <w:tcPr>
            <w:tcW w:w="665" w:type="pct"/>
            <w:gridSpan w:val="2"/>
            <w:shd w:val="clear" w:color="auto" w:fill="EFF4F5"/>
            <w:vAlign w:val="bottom"/>
          </w:tcPr>
          <w:p w14:paraId="676B95B9" w14:textId="39490A76" w:rsidR="00E56C5B" w:rsidRPr="00D94AEE" w:rsidRDefault="00781A1E" w:rsidP="00D94AEE">
            <w:pPr>
              <w:pStyle w:val="Tabletext"/>
              <w:jc w:val="right"/>
              <w:rPr>
                <w:b/>
              </w:rPr>
            </w:pPr>
            <w:r w:rsidRPr="00DA6771">
              <w:rPr>
                <w:b/>
              </w:rPr>
              <w:t>–</w:t>
            </w:r>
          </w:p>
        </w:tc>
        <w:tc>
          <w:tcPr>
            <w:tcW w:w="659" w:type="pct"/>
            <w:vAlign w:val="bottom"/>
          </w:tcPr>
          <w:p w14:paraId="255BD34B" w14:textId="3115994D" w:rsidR="00E56C5B" w:rsidRPr="00E56C5B" w:rsidRDefault="00E56C5B" w:rsidP="00D94AEE">
            <w:pPr>
              <w:pStyle w:val="Tabletext"/>
              <w:jc w:val="right"/>
            </w:pPr>
            <w:r w:rsidRPr="00E56C5B">
              <w:rPr>
                <w:lang w:val="en-US"/>
              </w:rPr>
              <w:t>45.1</w:t>
            </w:r>
          </w:p>
        </w:tc>
      </w:tr>
      <w:tr w:rsidR="00E56C5B" w:rsidRPr="00066035" w14:paraId="6B1A5DE6" w14:textId="77777777" w:rsidTr="00D94AEE">
        <w:tc>
          <w:tcPr>
            <w:tcW w:w="1879" w:type="pct"/>
            <w:vAlign w:val="bottom"/>
          </w:tcPr>
          <w:p w14:paraId="106842B5" w14:textId="77777777" w:rsidR="00E56C5B" w:rsidRPr="009E3D84" w:rsidRDefault="00E56C5B" w:rsidP="00D94AEE">
            <w:pPr>
              <w:pStyle w:val="Tabletextindented"/>
            </w:pPr>
            <w:r w:rsidRPr="009E3D84">
              <w:t>Rozier Finco 2 Limited</w:t>
            </w:r>
          </w:p>
        </w:tc>
        <w:tc>
          <w:tcPr>
            <w:tcW w:w="1797" w:type="pct"/>
            <w:vAlign w:val="bottom"/>
          </w:tcPr>
          <w:p w14:paraId="0AD3C464" w14:textId="77777777" w:rsidR="00E56C5B" w:rsidRPr="009E3D84" w:rsidRDefault="00E56C5B" w:rsidP="00D94AEE">
            <w:pPr>
              <w:pStyle w:val="Tabletext"/>
            </w:pPr>
            <w:r w:rsidRPr="009E3D84">
              <w:t>Interest payable</w:t>
            </w:r>
          </w:p>
        </w:tc>
        <w:tc>
          <w:tcPr>
            <w:tcW w:w="665" w:type="pct"/>
            <w:gridSpan w:val="2"/>
            <w:shd w:val="clear" w:color="auto" w:fill="EFF4F5"/>
            <w:vAlign w:val="bottom"/>
          </w:tcPr>
          <w:p w14:paraId="7921F15D" w14:textId="42231B6C" w:rsidR="00E56C5B" w:rsidRPr="00D94AEE" w:rsidRDefault="00781A1E" w:rsidP="00D94AEE">
            <w:pPr>
              <w:pStyle w:val="Tabletext"/>
              <w:jc w:val="right"/>
              <w:rPr>
                <w:b/>
                <w:lang w:val="en-US"/>
              </w:rPr>
            </w:pPr>
            <w:r w:rsidRPr="00DA6771">
              <w:rPr>
                <w:b/>
              </w:rPr>
              <w:t>–</w:t>
            </w:r>
          </w:p>
        </w:tc>
        <w:tc>
          <w:tcPr>
            <w:tcW w:w="659" w:type="pct"/>
            <w:vAlign w:val="bottom"/>
          </w:tcPr>
          <w:p w14:paraId="2635701A" w14:textId="333FA546" w:rsidR="00E56C5B" w:rsidRPr="00E56C5B" w:rsidRDefault="00E56C5B" w:rsidP="00D94AEE">
            <w:pPr>
              <w:pStyle w:val="Tabletext"/>
              <w:jc w:val="right"/>
            </w:pPr>
            <w:r w:rsidRPr="00E56C5B">
              <w:rPr>
                <w:lang w:val="en-US"/>
              </w:rPr>
              <w:t>9.1</w:t>
            </w:r>
          </w:p>
        </w:tc>
      </w:tr>
      <w:tr w:rsidR="00E56C5B" w:rsidRPr="00066035" w14:paraId="7361DF75" w14:textId="77777777" w:rsidTr="00D94AEE">
        <w:tc>
          <w:tcPr>
            <w:tcW w:w="1879" w:type="pct"/>
            <w:vAlign w:val="bottom"/>
          </w:tcPr>
          <w:p w14:paraId="6D913331" w14:textId="77777777" w:rsidR="00E56C5B" w:rsidRPr="009E3D84" w:rsidRDefault="00E56C5B" w:rsidP="00D94AEE">
            <w:pPr>
              <w:pStyle w:val="Tabletext"/>
            </w:pPr>
            <w:r w:rsidRPr="009E3D84">
              <w:t>Other related party:</w:t>
            </w:r>
          </w:p>
        </w:tc>
        <w:tc>
          <w:tcPr>
            <w:tcW w:w="1797" w:type="pct"/>
            <w:vAlign w:val="bottom"/>
          </w:tcPr>
          <w:p w14:paraId="7665DBB4" w14:textId="77777777" w:rsidR="00E56C5B" w:rsidRPr="009E3D84" w:rsidRDefault="00E56C5B" w:rsidP="00D94AEE">
            <w:pPr>
              <w:pStyle w:val="Tabletext"/>
            </w:pPr>
          </w:p>
        </w:tc>
        <w:tc>
          <w:tcPr>
            <w:tcW w:w="665" w:type="pct"/>
            <w:gridSpan w:val="2"/>
            <w:shd w:val="clear" w:color="auto" w:fill="EFF4F5"/>
            <w:vAlign w:val="bottom"/>
          </w:tcPr>
          <w:p w14:paraId="3CAA80CD" w14:textId="77777777" w:rsidR="00E56C5B" w:rsidRPr="00D94AEE" w:rsidRDefault="00E56C5B" w:rsidP="00D94AEE">
            <w:pPr>
              <w:pStyle w:val="Tabletext"/>
              <w:jc w:val="right"/>
              <w:rPr>
                <w:b/>
                <w:lang w:val="en-US"/>
              </w:rPr>
            </w:pPr>
          </w:p>
        </w:tc>
        <w:tc>
          <w:tcPr>
            <w:tcW w:w="659" w:type="pct"/>
            <w:vAlign w:val="bottom"/>
          </w:tcPr>
          <w:p w14:paraId="741C0E6A" w14:textId="77777777" w:rsidR="00E56C5B" w:rsidRPr="00E56C5B" w:rsidRDefault="00E56C5B" w:rsidP="00D94AEE">
            <w:pPr>
              <w:pStyle w:val="Tabletext"/>
              <w:jc w:val="right"/>
            </w:pPr>
          </w:p>
        </w:tc>
      </w:tr>
      <w:tr w:rsidR="00781A1E" w:rsidRPr="00066035" w14:paraId="7E6BCAF9" w14:textId="77777777" w:rsidTr="00D94AEE">
        <w:tc>
          <w:tcPr>
            <w:tcW w:w="1879" w:type="pct"/>
            <w:tcBorders>
              <w:bottom w:val="single" w:sz="4" w:space="0" w:color="93B7BB"/>
            </w:tcBorders>
            <w:vAlign w:val="bottom"/>
          </w:tcPr>
          <w:p w14:paraId="79050F78" w14:textId="41056FE0" w:rsidR="00781A1E" w:rsidRPr="009E3D84" w:rsidRDefault="00781A1E" w:rsidP="00EB5420">
            <w:pPr>
              <w:pStyle w:val="Tabletextindented"/>
            </w:pPr>
            <w:r w:rsidRPr="009E3D84">
              <w:t xml:space="preserve">Management team of </w:t>
            </w:r>
            <w:r w:rsidR="00EB5420">
              <w:t>the</w:t>
            </w:r>
            <w:r w:rsidRPr="009E3D84">
              <w:t xml:space="preserve"> Group</w:t>
            </w:r>
          </w:p>
        </w:tc>
        <w:tc>
          <w:tcPr>
            <w:tcW w:w="1797" w:type="pct"/>
            <w:tcBorders>
              <w:bottom w:val="single" w:sz="4" w:space="0" w:color="93B7BB"/>
            </w:tcBorders>
            <w:vAlign w:val="bottom"/>
          </w:tcPr>
          <w:p w14:paraId="522F614F" w14:textId="6E17B823" w:rsidR="00781A1E" w:rsidRPr="009E3D84" w:rsidRDefault="00781A1E" w:rsidP="00D94AEE">
            <w:pPr>
              <w:pStyle w:val="Tabletext"/>
            </w:pPr>
            <w:r w:rsidRPr="009E3D84">
              <w:t xml:space="preserve">Interest payable </w:t>
            </w:r>
          </w:p>
        </w:tc>
        <w:tc>
          <w:tcPr>
            <w:tcW w:w="665" w:type="pct"/>
            <w:gridSpan w:val="2"/>
            <w:tcBorders>
              <w:bottom w:val="single" w:sz="4" w:space="0" w:color="93B7BB"/>
            </w:tcBorders>
            <w:shd w:val="clear" w:color="auto" w:fill="EFF4F5"/>
            <w:vAlign w:val="bottom"/>
          </w:tcPr>
          <w:p w14:paraId="7EB4F122" w14:textId="57DFCDCF" w:rsidR="00781A1E" w:rsidRPr="00D94AEE" w:rsidRDefault="00781A1E" w:rsidP="00D94AEE">
            <w:pPr>
              <w:pStyle w:val="Tabletext"/>
              <w:jc w:val="right"/>
              <w:rPr>
                <w:b/>
              </w:rPr>
            </w:pPr>
            <w:r w:rsidRPr="00DA6771">
              <w:rPr>
                <w:b/>
              </w:rPr>
              <w:t>–</w:t>
            </w:r>
          </w:p>
        </w:tc>
        <w:tc>
          <w:tcPr>
            <w:tcW w:w="659" w:type="pct"/>
            <w:tcBorders>
              <w:bottom w:val="single" w:sz="4" w:space="0" w:color="93B7BB"/>
            </w:tcBorders>
            <w:vAlign w:val="bottom"/>
          </w:tcPr>
          <w:p w14:paraId="7E939298" w14:textId="5E9F0805" w:rsidR="00781A1E" w:rsidRPr="00E56C5B" w:rsidRDefault="00781A1E" w:rsidP="00D94AEE">
            <w:pPr>
              <w:pStyle w:val="Tabletext"/>
              <w:jc w:val="right"/>
            </w:pPr>
            <w:r w:rsidRPr="00E56C5B">
              <w:t>0.3</w:t>
            </w:r>
          </w:p>
        </w:tc>
      </w:tr>
    </w:tbl>
    <w:p w14:paraId="05B06292" w14:textId="2EA9C710" w:rsidR="00004F63" w:rsidRPr="009E3D84" w:rsidRDefault="00D94AEE" w:rsidP="00AF5149">
      <w:pPr>
        <w:pStyle w:val="Footnote"/>
        <w:jc w:val="both"/>
      </w:pPr>
      <w:r>
        <w:t>*</w:t>
      </w:r>
      <w:r>
        <w:tab/>
      </w:r>
      <w:r w:rsidR="00004F63" w:rsidRPr="009E3D84">
        <w:t>In respect of the monitoring of the performance of the Group on behalf of Cinven Funds</w:t>
      </w:r>
      <w:r w:rsidR="00AF5149">
        <w:t xml:space="preserve"> prior to IPO</w:t>
      </w:r>
      <w:r w:rsidR="002C38D4">
        <w:t>.</w:t>
      </w:r>
    </w:p>
    <w:p w14:paraId="68343BF7" w14:textId="77777777" w:rsidR="00004F63" w:rsidRDefault="00004F63" w:rsidP="00D94AEE">
      <w:pPr>
        <w:pStyle w:val="Footnote"/>
      </w:pPr>
    </w:p>
    <w:p w14:paraId="36ED65E5" w14:textId="1B7F41A7" w:rsidR="00004F63" w:rsidRDefault="00925DBD" w:rsidP="00D94AEE">
      <w:pPr>
        <w:pStyle w:val="Heading4"/>
      </w:pPr>
      <w:r>
        <w:t xml:space="preserve">Amounts owed </w:t>
      </w:r>
      <w:r w:rsidR="00004F63" w:rsidRPr="009E3D84">
        <w:t>to related parties</w:t>
      </w:r>
    </w:p>
    <w:p w14:paraId="3EE9F5B5" w14:textId="4DCCE8BD" w:rsidR="009E3DBD" w:rsidRPr="00587138" w:rsidRDefault="009E3DBD" w:rsidP="00097F38">
      <w:pPr>
        <w:jc w:val="both"/>
      </w:pPr>
      <w:r w:rsidRPr="00587138">
        <w:t xml:space="preserve">As part of Admission, the loans due to </w:t>
      </w:r>
      <w:r w:rsidR="00717C02">
        <w:t>former parent undertakings</w:t>
      </w:r>
      <w:r w:rsidR="002D709B">
        <w:t xml:space="preserve"> and the m</w:t>
      </w:r>
      <w:r w:rsidRPr="00587138">
        <w:t>anagement team were either capitalised or repaid.</w:t>
      </w:r>
      <w:r w:rsidR="00E56C5B">
        <w:t xml:space="preserve"> Those loans carried interest of </w:t>
      </w:r>
      <w:r w:rsidR="00781A1E">
        <w:t>12</w:t>
      </w:r>
      <w:r w:rsidR="002D709B">
        <w:t>.0</w:t>
      </w:r>
      <w:r w:rsidR="00781A1E">
        <w:t>% per annum</w:t>
      </w:r>
      <w:r w:rsidR="00E56C5B">
        <w:t>.</w:t>
      </w:r>
    </w:p>
    <w:p w14:paraId="502EE20A" w14:textId="60543F72" w:rsidR="009E3DBD" w:rsidRPr="009E3D84" w:rsidRDefault="00D94AEE" w:rsidP="00D94AEE">
      <w:pPr>
        <w:pStyle w:val="Heading3"/>
      </w:pPr>
      <w:r>
        <w:t>2</w:t>
      </w:r>
      <w:r w:rsidR="00356462">
        <w:t>4</w:t>
      </w:r>
      <w:r>
        <w:t xml:space="preserve">. </w:t>
      </w:r>
      <w:r w:rsidR="009E3DBD" w:rsidRPr="009E3D84">
        <w:t>Events after the reporting period</w:t>
      </w:r>
    </w:p>
    <w:p w14:paraId="31A27BCA" w14:textId="69305241" w:rsidR="009E3DBD" w:rsidRPr="00587138" w:rsidRDefault="009E3DBD" w:rsidP="00D94AEE">
      <w:pPr>
        <w:pStyle w:val="Heading4"/>
      </w:pPr>
      <w:r w:rsidRPr="00587138">
        <w:t>201</w:t>
      </w:r>
      <w:r w:rsidR="00725E28">
        <w:t>5</w:t>
      </w:r>
      <w:r w:rsidRPr="00587138">
        <w:t xml:space="preserve"> </w:t>
      </w:r>
      <w:r w:rsidR="002D709B">
        <w:t>f</w:t>
      </w:r>
      <w:r w:rsidRPr="00587138">
        <w:t xml:space="preserve">inal </w:t>
      </w:r>
      <w:r w:rsidR="002D709B">
        <w:t>d</w:t>
      </w:r>
      <w:r w:rsidRPr="00587138">
        <w:t>ividend</w:t>
      </w:r>
    </w:p>
    <w:p w14:paraId="4173CC46" w14:textId="477FAE10" w:rsidR="009E3DBD" w:rsidRPr="00587138" w:rsidRDefault="009E3DBD" w:rsidP="00097F38">
      <w:pPr>
        <w:pStyle w:val="Tabletext"/>
        <w:jc w:val="both"/>
      </w:pPr>
      <w:r w:rsidRPr="009E2BFB">
        <w:t>For 201</w:t>
      </w:r>
      <w:r w:rsidR="00725E28" w:rsidRPr="009E2BFB">
        <w:t>5</w:t>
      </w:r>
      <w:r w:rsidRPr="009E2BFB">
        <w:t xml:space="preserve">, the Board has recommended a final dividend of </w:t>
      </w:r>
      <w:r w:rsidR="003C114D" w:rsidRPr="009E2BFB">
        <w:t>2.4</w:t>
      </w:r>
      <w:r w:rsidRPr="009E2BFB">
        <w:t xml:space="preserve"> pence per share, amounting to</w:t>
      </w:r>
      <w:r w:rsidR="004B18DC" w:rsidRPr="009E2BFB">
        <w:t xml:space="preserve"> approximately</w:t>
      </w:r>
      <w:r w:rsidRPr="009E2BFB">
        <w:t xml:space="preserve"> £</w:t>
      </w:r>
      <w:r w:rsidR="00925DBD" w:rsidRPr="009E2BFB">
        <w:t>9</w:t>
      </w:r>
      <w:r w:rsidR="00725E28" w:rsidRPr="009E2BFB">
        <w:t>.</w:t>
      </w:r>
      <w:r w:rsidR="00925DBD" w:rsidRPr="009E2BFB">
        <w:t>4</w:t>
      </w:r>
      <w:r w:rsidRPr="009E2BFB">
        <w:t xml:space="preserve"> million, to be paid on </w:t>
      </w:r>
      <w:r w:rsidR="009E2BFB">
        <w:t>28</w:t>
      </w:r>
      <w:r w:rsidR="00E46246" w:rsidRPr="009E2BFB">
        <w:t xml:space="preserve"> June</w:t>
      </w:r>
      <w:r w:rsidRPr="009E2BFB">
        <w:t xml:space="preserve"> 201</w:t>
      </w:r>
      <w:r w:rsidR="00725E28" w:rsidRPr="009E2BFB">
        <w:t>6</w:t>
      </w:r>
      <w:r w:rsidRPr="009E2BFB">
        <w:t xml:space="preserve"> to shareholders on the register at the close of business on </w:t>
      </w:r>
      <w:r w:rsidR="009E2BFB">
        <w:t>3</w:t>
      </w:r>
      <w:r w:rsidR="00E46246" w:rsidRPr="009E2BFB">
        <w:t xml:space="preserve"> June</w:t>
      </w:r>
      <w:r w:rsidRPr="009E2BFB">
        <w:t xml:space="preserve"> 201</w:t>
      </w:r>
      <w:r w:rsidR="00725E28" w:rsidRPr="009E2BFB">
        <w:t>6</w:t>
      </w:r>
      <w:r w:rsidRPr="009E2BFB">
        <w:t>.</w:t>
      </w:r>
    </w:p>
    <w:p w14:paraId="127075BF" w14:textId="77777777" w:rsidR="009E3DBD" w:rsidRDefault="009E3DBD" w:rsidP="00D94AEE">
      <w:pPr>
        <w:pStyle w:val="Tabletext"/>
      </w:pPr>
    </w:p>
    <w:p w14:paraId="388A46D6" w14:textId="77777777" w:rsidR="00AF5149" w:rsidRDefault="00AF5149">
      <w:pPr>
        <w:spacing w:after="160" w:line="259" w:lineRule="auto"/>
        <w:rPr>
          <w:rFonts w:asciiTheme="majorHAnsi" w:eastAsiaTheme="majorEastAsia" w:hAnsiTheme="majorHAnsi" w:cstheme="majorBidi"/>
          <w:sz w:val="56"/>
          <w:szCs w:val="32"/>
        </w:rPr>
      </w:pPr>
      <w:r>
        <w:br w:type="page"/>
      </w:r>
    </w:p>
    <w:p w14:paraId="7F61CB78" w14:textId="5A6D9216" w:rsidR="00004F63" w:rsidRDefault="00521EBB" w:rsidP="005A27EF">
      <w:pPr>
        <w:pStyle w:val="Heading1"/>
      </w:pPr>
      <w:r>
        <w:lastRenderedPageBreak/>
        <w:t>Shareholders</w:t>
      </w:r>
      <w:r w:rsidR="002C15F6">
        <w:t>’</w:t>
      </w:r>
      <w:r>
        <w:t xml:space="preserve"> information</w:t>
      </w:r>
    </w:p>
    <w:p w14:paraId="65C7A571" w14:textId="77777777" w:rsidR="00004F63" w:rsidRPr="00D94AEE" w:rsidRDefault="00C94446" w:rsidP="005A27EF">
      <w:pPr>
        <w:pStyle w:val="Heading3"/>
      </w:pPr>
      <w:r w:rsidRPr="00D94AEE">
        <w:t>Registered office and group head office</w:t>
      </w:r>
    </w:p>
    <w:p w14:paraId="3722BACA" w14:textId="77777777" w:rsidR="004431B8" w:rsidRDefault="004431B8" w:rsidP="005A27EF">
      <w:pPr>
        <w:keepNext/>
        <w:keepLines/>
      </w:pPr>
      <w:r>
        <w:t>Spire Healthcare Group plc</w:t>
      </w:r>
      <w:r w:rsidR="00D94AEE">
        <w:br/>
      </w:r>
      <w:r>
        <w:t>3 Dorset Rise</w:t>
      </w:r>
      <w:r w:rsidR="00D94AEE">
        <w:br/>
      </w:r>
      <w:r>
        <w:t>London EC4Y 8EN</w:t>
      </w:r>
    </w:p>
    <w:p w14:paraId="4A64AFF3" w14:textId="77777777" w:rsidR="004431B8" w:rsidRDefault="004431B8" w:rsidP="005A27EF">
      <w:pPr>
        <w:keepNext/>
        <w:keepLines/>
      </w:pPr>
      <w:r>
        <w:t>Tel +44 (0)20 7427 9000</w:t>
      </w:r>
      <w:r w:rsidR="00D94AEE">
        <w:br/>
      </w:r>
      <w:r>
        <w:t>Fax +44 (0)20 7427 9001</w:t>
      </w:r>
    </w:p>
    <w:p w14:paraId="13BECB95" w14:textId="77777777" w:rsidR="004431B8" w:rsidRPr="004431B8" w:rsidRDefault="004431B8" w:rsidP="005A27EF">
      <w:pPr>
        <w:keepNext/>
        <w:keepLines/>
      </w:pPr>
      <w:r>
        <w:t>(Registered in England &amp; Wales No. 09084066)</w:t>
      </w:r>
    </w:p>
    <w:p w14:paraId="1994BF7D" w14:textId="77777777" w:rsidR="00B22F3C" w:rsidRPr="00D94AEE" w:rsidRDefault="004431B8" w:rsidP="005A27EF">
      <w:pPr>
        <w:pStyle w:val="Heading3"/>
      </w:pPr>
      <w:r w:rsidRPr="00D94AEE">
        <w:t>Corporate website</w:t>
      </w:r>
    </w:p>
    <w:p w14:paraId="7A82E643" w14:textId="77777777" w:rsidR="004431B8" w:rsidRPr="004431B8" w:rsidRDefault="004431B8" w:rsidP="005A27EF">
      <w:pPr>
        <w:keepNext/>
        <w:keepLines/>
      </w:pPr>
      <w:r>
        <w:t xml:space="preserve">Shareholder and other information about the Company can be accessed on the Company’s website: </w:t>
      </w:r>
      <w:hyperlink r:id="rId12" w:history="1">
        <w:r w:rsidR="00F8282A" w:rsidRPr="00B626AD">
          <w:rPr>
            <w:rStyle w:val="Hyperlink"/>
            <w:szCs w:val="17"/>
          </w:rPr>
          <w:t>www.spirehealthcare.com</w:t>
        </w:r>
      </w:hyperlink>
      <w:r>
        <w:t>.</w:t>
      </w:r>
    </w:p>
    <w:p w14:paraId="0AC89FF7" w14:textId="77777777" w:rsidR="004431B8" w:rsidRPr="001561EE" w:rsidRDefault="001561EE" w:rsidP="00D94AEE">
      <w:pPr>
        <w:pStyle w:val="Heading3"/>
      </w:pPr>
      <w:r>
        <w:t>Financial Calendar</w:t>
      </w:r>
    </w:p>
    <w:p w14:paraId="4DAD7184" w14:textId="4F08C98D" w:rsidR="00B22F3C" w:rsidRDefault="001561EE" w:rsidP="00D94AEE">
      <w:pPr>
        <w:tabs>
          <w:tab w:val="left" w:pos="3969"/>
        </w:tabs>
      </w:pPr>
      <w:r>
        <w:t>201</w:t>
      </w:r>
      <w:r w:rsidR="00725E28">
        <w:t>6</w:t>
      </w:r>
      <w:r>
        <w:t xml:space="preserve"> Annual </w:t>
      </w:r>
      <w:r w:rsidR="001F3775">
        <w:t>General</w:t>
      </w:r>
      <w:r>
        <w:t xml:space="preserve"> Meeting</w:t>
      </w:r>
      <w:r w:rsidR="00925DBD">
        <w:t xml:space="preserve"> (London)</w:t>
      </w:r>
      <w:r w:rsidR="001F3775">
        <w:tab/>
      </w:r>
      <w:r w:rsidR="00317860" w:rsidRPr="00317860">
        <w:t>1</w:t>
      </w:r>
      <w:r w:rsidR="00CA3CF3">
        <w:t>9</w:t>
      </w:r>
      <w:r w:rsidR="001F3775">
        <w:t xml:space="preserve"> May 201</w:t>
      </w:r>
      <w:r w:rsidR="00725E28">
        <w:t>6</w:t>
      </w:r>
    </w:p>
    <w:p w14:paraId="11E8A3EE" w14:textId="7453E9DC" w:rsidR="001561EE" w:rsidRPr="00925DBD" w:rsidRDefault="001561EE" w:rsidP="00D94AEE">
      <w:pPr>
        <w:tabs>
          <w:tab w:val="left" w:pos="3969"/>
        </w:tabs>
      </w:pPr>
      <w:r>
        <w:t xml:space="preserve">Ex-div date for </w:t>
      </w:r>
      <w:r w:rsidR="00925DBD">
        <w:t>2015 f</w:t>
      </w:r>
      <w:r>
        <w:t>inal dividend</w:t>
      </w:r>
      <w:r w:rsidR="001F3775">
        <w:tab/>
      </w:r>
      <w:r w:rsidR="00925DBD" w:rsidRPr="00925DBD">
        <w:t>2</w:t>
      </w:r>
      <w:r w:rsidR="002F6CA5" w:rsidRPr="00925DBD">
        <w:t xml:space="preserve"> June</w:t>
      </w:r>
      <w:r w:rsidR="001F3775" w:rsidRPr="00925DBD">
        <w:t xml:space="preserve"> 201</w:t>
      </w:r>
      <w:r w:rsidR="00725E28" w:rsidRPr="00925DBD">
        <w:t>6</w:t>
      </w:r>
    </w:p>
    <w:p w14:paraId="24E5A62C" w14:textId="499E3BC6" w:rsidR="001561EE" w:rsidRPr="00925DBD" w:rsidRDefault="001561EE" w:rsidP="00D94AEE">
      <w:pPr>
        <w:tabs>
          <w:tab w:val="left" w:pos="3969"/>
        </w:tabs>
      </w:pPr>
      <w:r w:rsidRPr="00925DBD">
        <w:t xml:space="preserve">Record date for </w:t>
      </w:r>
      <w:r w:rsidR="00925DBD">
        <w:t>2015 final dividend</w:t>
      </w:r>
      <w:r w:rsidR="001F3775" w:rsidRPr="00925DBD">
        <w:tab/>
      </w:r>
      <w:r w:rsidR="00925DBD">
        <w:t>3</w:t>
      </w:r>
      <w:r w:rsidR="002D424B" w:rsidRPr="00925DBD">
        <w:t xml:space="preserve"> June</w:t>
      </w:r>
      <w:r w:rsidR="001F3775" w:rsidRPr="00925DBD">
        <w:t xml:space="preserve"> 201</w:t>
      </w:r>
      <w:r w:rsidR="00725E28" w:rsidRPr="00925DBD">
        <w:t>6</w:t>
      </w:r>
    </w:p>
    <w:p w14:paraId="1924AF1E" w14:textId="7900364A" w:rsidR="001561EE" w:rsidRDefault="001561EE" w:rsidP="00D94AEE">
      <w:pPr>
        <w:tabs>
          <w:tab w:val="left" w:pos="3969"/>
        </w:tabs>
      </w:pPr>
      <w:r w:rsidRPr="00925DBD">
        <w:t xml:space="preserve">Payment date </w:t>
      </w:r>
      <w:r w:rsidR="001F3775" w:rsidRPr="00925DBD">
        <w:t>o</w:t>
      </w:r>
      <w:r w:rsidR="00925DBD">
        <w:t>f</w:t>
      </w:r>
      <w:r w:rsidR="001F3775" w:rsidRPr="00925DBD">
        <w:t xml:space="preserve"> </w:t>
      </w:r>
      <w:r w:rsidR="00925DBD">
        <w:t>2015 final dividend</w:t>
      </w:r>
      <w:r w:rsidR="001F3775" w:rsidRPr="00925DBD">
        <w:tab/>
      </w:r>
      <w:r w:rsidR="00925DBD">
        <w:t>28</w:t>
      </w:r>
      <w:r w:rsidR="002D424B">
        <w:t xml:space="preserve"> June</w:t>
      </w:r>
      <w:r w:rsidR="001F3775">
        <w:t xml:space="preserve"> 201</w:t>
      </w:r>
      <w:r w:rsidR="00725E28">
        <w:t>6</w:t>
      </w:r>
    </w:p>
    <w:p w14:paraId="2F5ED02A" w14:textId="33C58623" w:rsidR="001561EE" w:rsidRDefault="001F3775" w:rsidP="00D94AEE">
      <w:pPr>
        <w:tabs>
          <w:tab w:val="left" w:pos="3969"/>
        </w:tabs>
      </w:pPr>
      <w:r>
        <w:t>Announcement of 201</w:t>
      </w:r>
      <w:r w:rsidR="00725E28">
        <w:t>6</w:t>
      </w:r>
      <w:r>
        <w:t xml:space="preserve"> half year results</w:t>
      </w:r>
      <w:r>
        <w:tab/>
        <w:t>August 201</w:t>
      </w:r>
      <w:r w:rsidR="00725E28">
        <w:t>6</w:t>
      </w:r>
    </w:p>
    <w:p w14:paraId="2930F582" w14:textId="77777777" w:rsidR="001F3775" w:rsidRPr="001561EE" w:rsidRDefault="001F3775" w:rsidP="00D94AEE">
      <w:pPr>
        <w:tabs>
          <w:tab w:val="left" w:pos="3969"/>
        </w:tabs>
      </w:pPr>
    </w:p>
    <w:sectPr w:rsidR="001F3775" w:rsidRPr="001561EE" w:rsidSect="00086DB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FD884" w14:textId="77777777" w:rsidR="009B5649" w:rsidRDefault="009B5649" w:rsidP="003B3FA4">
      <w:pPr>
        <w:spacing w:after="0" w:line="240" w:lineRule="auto"/>
      </w:pPr>
      <w:r>
        <w:separator/>
      </w:r>
    </w:p>
  </w:endnote>
  <w:endnote w:type="continuationSeparator" w:id="0">
    <w:p w14:paraId="358AFA5D" w14:textId="77777777" w:rsidR="009B5649" w:rsidRDefault="009B5649" w:rsidP="003B3FA4">
      <w:pPr>
        <w:spacing w:after="0" w:line="240" w:lineRule="auto"/>
      </w:pPr>
      <w:r>
        <w:continuationSeparator/>
      </w:r>
    </w:p>
  </w:endnote>
  <w:endnote w:type="continuationNotice" w:id="1">
    <w:p w14:paraId="18719A48" w14:textId="77777777" w:rsidR="009B5649" w:rsidRDefault="009B5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337791"/>
      <w:docPartObj>
        <w:docPartGallery w:val="Page Numbers (Bottom of Page)"/>
        <w:docPartUnique/>
      </w:docPartObj>
    </w:sdtPr>
    <w:sdtEndPr>
      <w:rPr>
        <w:noProof/>
      </w:rPr>
    </w:sdtEndPr>
    <w:sdtContent>
      <w:p w14:paraId="564733AC" w14:textId="77777777" w:rsidR="009B5649" w:rsidRDefault="009B5649">
        <w:pPr>
          <w:pStyle w:val="Footer"/>
          <w:jc w:val="right"/>
        </w:pPr>
        <w:r>
          <w:fldChar w:fldCharType="begin"/>
        </w:r>
        <w:r>
          <w:instrText xml:space="preserve"> PAGE   \* MERGEFORMAT </w:instrText>
        </w:r>
        <w:r>
          <w:fldChar w:fldCharType="separate"/>
        </w:r>
        <w:r w:rsidR="00F55184">
          <w:rPr>
            <w:noProof/>
          </w:rPr>
          <w:t>1</w:t>
        </w:r>
        <w:r>
          <w:rPr>
            <w:noProof/>
          </w:rPr>
          <w:fldChar w:fldCharType="end"/>
        </w:r>
      </w:p>
    </w:sdtContent>
  </w:sdt>
  <w:p w14:paraId="04963736" w14:textId="77777777" w:rsidR="009B5649" w:rsidRPr="00675F48" w:rsidRDefault="009B5649" w:rsidP="008C3296">
    <w:pPr>
      <w:pStyle w:val="Footer"/>
      <w:tabs>
        <w:tab w:val="clear" w:pos="4513"/>
        <w:tab w:val="clear" w:pos="9026"/>
        <w:tab w:val="right" w:pos="90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90F68" w14:textId="77777777" w:rsidR="009B5649" w:rsidRDefault="009B5649" w:rsidP="003B3FA4">
      <w:pPr>
        <w:spacing w:after="0" w:line="240" w:lineRule="auto"/>
      </w:pPr>
      <w:r>
        <w:separator/>
      </w:r>
    </w:p>
  </w:footnote>
  <w:footnote w:type="continuationSeparator" w:id="0">
    <w:p w14:paraId="1DCF6956" w14:textId="77777777" w:rsidR="009B5649" w:rsidRDefault="009B5649" w:rsidP="003B3FA4">
      <w:pPr>
        <w:spacing w:after="0" w:line="240" w:lineRule="auto"/>
      </w:pPr>
      <w:r>
        <w:continuationSeparator/>
      </w:r>
    </w:p>
  </w:footnote>
  <w:footnote w:type="continuationNotice" w:id="1">
    <w:p w14:paraId="23A55F03" w14:textId="77777777" w:rsidR="009B5649" w:rsidRDefault="009B564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E2F"/>
    <w:multiLevelType w:val="hybridMultilevel"/>
    <w:tmpl w:val="A1D6F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05907"/>
    <w:multiLevelType w:val="singleLevel"/>
    <w:tmpl w:val="251AAF34"/>
    <w:lvl w:ilvl="0">
      <w:start w:val="1"/>
      <w:numFmt w:val="bullet"/>
      <w:lvlRestart w:val="0"/>
      <w:pStyle w:val="Normalbullets"/>
      <w:lvlText w:val="·"/>
      <w:lvlJc w:val="left"/>
      <w:pPr>
        <w:tabs>
          <w:tab w:val="num" w:pos="425"/>
        </w:tabs>
        <w:ind w:left="425" w:hanging="425"/>
      </w:pPr>
      <w:rPr>
        <w:rFonts w:ascii="Symbol" w:hAnsi="Symbol" w:cs="Symbol" w:hint="default"/>
        <w:color w:val="auto"/>
        <w:sz w:val="22"/>
        <w:szCs w:val="22"/>
      </w:rPr>
    </w:lvl>
  </w:abstractNum>
  <w:abstractNum w:abstractNumId="2">
    <w:nsid w:val="19823B84"/>
    <w:multiLevelType w:val="multilevel"/>
    <w:tmpl w:val="D42639C2"/>
    <w:lvl w:ilvl="0">
      <w:start w:val="1"/>
      <w:numFmt w:val="decimal"/>
      <w:pStyle w:val="NotesHeadingAC"/>
      <w:lvlText w:val="%1."/>
      <w:lvlJc w:val="left"/>
      <w:pPr>
        <w:tabs>
          <w:tab w:val="num" w:pos="0"/>
        </w:tabs>
        <w:ind w:left="0" w:hanging="425"/>
      </w:pPr>
      <w:rPr>
        <w:rFonts w:hint="default"/>
      </w:rPr>
    </w:lvl>
    <w:lvl w:ilvl="1">
      <w:start w:val="1"/>
      <w:numFmt w:val="none"/>
      <w:pStyle w:val="NotesHeadingcontinuedAC"/>
      <w:lvlText w:val="%1."/>
      <w:lvlJc w:val="left"/>
      <w:pPr>
        <w:tabs>
          <w:tab w:val="num" w:pos="0"/>
        </w:tabs>
        <w:ind w:left="0" w:hanging="425"/>
      </w:pPr>
      <w:rPr>
        <w:rFonts w:hint="default"/>
      </w:rPr>
    </w:lvl>
    <w:lvl w:ilvl="2">
      <w:start w:val="1"/>
      <w:numFmt w:val="lowerLetter"/>
      <w:lvlRestart w:val="0"/>
      <w:pStyle w:val="NotesSubheadingAC"/>
      <w:lvlText w:val="(%3)"/>
      <w:lvlJc w:val="left"/>
      <w:pPr>
        <w:tabs>
          <w:tab w:val="num" w:pos="567"/>
        </w:tabs>
        <w:ind w:left="567" w:hanging="567"/>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3">
    <w:nsid w:val="232F68A9"/>
    <w:multiLevelType w:val="hybridMultilevel"/>
    <w:tmpl w:val="45DA49DA"/>
    <w:lvl w:ilvl="0" w:tplc="9F5045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2B7856"/>
    <w:multiLevelType w:val="hybridMultilevel"/>
    <w:tmpl w:val="D3FE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B50D96"/>
    <w:multiLevelType w:val="hybridMultilevel"/>
    <w:tmpl w:val="A92C86B4"/>
    <w:lvl w:ilvl="0" w:tplc="E0885338">
      <w:start w:val="1"/>
      <w:numFmt w:val="bullet"/>
      <w:lvlText w:val=""/>
      <w:lvlJc w:val="left"/>
      <w:pPr>
        <w:ind w:left="720" w:hanging="360"/>
      </w:pPr>
      <w:rPr>
        <w:rFonts w:ascii="Symbol" w:hAnsi="Symbol" w:cs="Symbol" w:hint="default"/>
        <w:b w:val="0"/>
        <w:bCs w:val="0"/>
        <w:i w:val="0"/>
        <w:iCs w:val="0"/>
        <w:caps w:val="0"/>
        <w:strike w:val="0"/>
        <w:dstrike w:val="0"/>
        <w:vanish w:val="0"/>
        <w:color w:val="000000"/>
        <w:spacing w:val="0"/>
        <w:kern w:val="18"/>
        <w:position w:val="0"/>
        <w:sz w:val="18"/>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2E0299"/>
    <w:multiLevelType w:val="hybridMultilevel"/>
    <w:tmpl w:val="BE6E1B2E"/>
    <w:lvl w:ilvl="0" w:tplc="08090017">
      <w:start w:val="1"/>
      <w:numFmt w:val="lowerLetter"/>
      <w:lvlText w:val="%1)"/>
      <w:lvlJc w:val="left"/>
      <w:pPr>
        <w:ind w:left="416" w:hanging="360"/>
      </w:p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7">
    <w:nsid w:val="30F44B7C"/>
    <w:multiLevelType w:val="hybridMultilevel"/>
    <w:tmpl w:val="DD2ED434"/>
    <w:lvl w:ilvl="0" w:tplc="5AEED686">
      <w:start w:val="1"/>
      <w:numFmt w:val="bullet"/>
      <w:pStyle w:val="Bullet1"/>
      <w:lvlText w:val=""/>
      <w:lvlJc w:val="left"/>
      <w:pPr>
        <w:ind w:left="360" w:hanging="360"/>
      </w:pPr>
      <w:rPr>
        <w:rFonts w:ascii="Symbol" w:hAnsi="Symbol" w:cs="Symbol" w:hint="default"/>
        <w:b w:val="0"/>
        <w:bCs w:val="0"/>
        <w:i w:val="0"/>
        <w:iCs w:val="0"/>
        <w:caps w:val="0"/>
        <w:strike w:val="0"/>
        <w:dstrike w:val="0"/>
        <w:vanish w:val="0"/>
        <w:color w:val="6F6F6E"/>
        <w:spacing w:val="0"/>
        <w:kern w:val="18"/>
        <w:position w:val="0"/>
        <w:sz w:val="18"/>
        <w:u w:val="none"/>
        <w:vertAlign w:val="baseline"/>
        <w:em w:val="no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441523F"/>
    <w:multiLevelType w:val="hybridMultilevel"/>
    <w:tmpl w:val="790C291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6D791C"/>
    <w:multiLevelType w:val="hybridMultilevel"/>
    <w:tmpl w:val="FD96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C023D4"/>
    <w:multiLevelType w:val="hybridMultilevel"/>
    <w:tmpl w:val="8374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B327BA"/>
    <w:multiLevelType w:val="multilevel"/>
    <w:tmpl w:val="79E2720A"/>
    <w:lvl w:ilvl="0">
      <w:start w:val="23"/>
      <w:numFmt w:val="decimal"/>
      <w:lvlText w:val="%1."/>
      <w:lvlJc w:val="left"/>
      <w:pPr>
        <w:tabs>
          <w:tab w:val="num" w:pos="0"/>
        </w:tabs>
        <w:ind w:left="0" w:hanging="425"/>
      </w:pPr>
      <w:rPr>
        <w:rFonts w:hint="default"/>
      </w:rPr>
    </w:lvl>
    <w:lvl w:ilvl="1">
      <w:start w:val="1"/>
      <w:numFmt w:val="none"/>
      <w:lvlText w:val="%1."/>
      <w:lvlJc w:val="left"/>
      <w:pPr>
        <w:tabs>
          <w:tab w:val="num" w:pos="0"/>
        </w:tabs>
        <w:ind w:left="0" w:hanging="425"/>
      </w:pPr>
      <w:rPr>
        <w:rFonts w:hint="default"/>
      </w:rPr>
    </w:lvl>
    <w:lvl w:ilvl="2">
      <w:start w:val="1"/>
      <w:numFmt w:val="lowerLetter"/>
      <w:lvlRestart w:val="0"/>
      <w:lvlText w:val="(%3)"/>
      <w:lvlJc w:val="left"/>
      <w:pPr>
        <w:tabs>
          <w:tab w:val="num" w:pos="567"/>
        </w:tabs>
        <w:ind w:left="567" w:hanging="567"/>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12">
    <w:nsid w:val="4B6C2407"/>
    <w:multiLevelType w:val="hybridMultilevel"/>
    <w:tmpl w:val="91669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C441613"/>
    <w:multiLevelType w:val="hybridMultilevel"/>
    <w:tmpl w:val="115A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0571E8"/>
    <w:multiLevelType w:val="hybridMultilevel"/>
    <w:tmpl w:val="2268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2F133D"/>
    <w:multiLevelType w:val="hybridMultilevel"/>
    <w:tmpl w:val="62CC9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D9C7810"/>
    <w:multiLevelType w:val="hybridMultilevel"/>
    <w:tmpl w:val="3A8EBF2E"/>
    <w:lvl w:ilvl="0" w:tplc="79F660B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39853FB"/>
    <w:multiLevelType w:val="hybridMultilevel"/>
    <w:tmpl w:val="2606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B76381"/>
    <w:multiLevelType w:val="multilevel"/>
    <w:tmpl w:val="9CEC93FA"/>
    <w:lvl w:ilvl="0">
      <w:start w:val="2"/>
      <w:numFmt w:val="decimal"/>
      <w:lvlText w:val="%1."/>
      <w:lvlJc w:val="left"/>
      <w:pPr>
        <w:tabs>
          <w:tab w:val="num" w:pos="0"/>
        </w:tabs>
        <w:ind w:left="0" w:hanging="425"/>
      </w:pPr>
      <w:rPr>
        <w:rFonts w:hint="default"/>
      </w:rPr>
    </w:lvl>
    <w:lvl w:ilvl="1">
      <w:start w:val="1"/>
      <w:numFmt w:val="none"/>
      <w:lvlText w:val="%1."/>
      <w:lvlJc w:val="left"/>
      <w:pPr>
        <w:tabs>
          <w:tab w:val="num" w:pos="0"/>
        </w:tabs>
        <w:ind w:left="0" w:hanging="425"/>
      </w:pPr>
      <w:rPr>
        <w:rFonts w:hint="default"/>
      </w:rPr>
    </w:lvl>
    <w:lvl w:ilvl="2">
      <w:start w:val="1"/>
      <w:numFmt w:val="lowerLetter"/>
      <w:lvlRestart w:val="0"/>
      <w:lvlText w:val="(%3)"/>
      <w:lvlJc w:val="left"/>
      <w:pPr>
        <w:tabs>
          <w:tab w:val="num" w:pos="567"/>
        </w:tabs>
        <w:ind w:left="567" w:hanging="567"/>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19">
    <w:nsid w:val="7EC360A2"/>
    <w:multiLevelType w:val="hybridMultilevel"/>
    <w:tmpl w:val="08482074"/>
    <w:lvl w:ilvl="0" w:tplc="F108426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7"/>
  </w:num>
  <w:num w:numId="5">
    <w:abstractNumId w:val="7"/>
  </w:num>
  <w:num w:numId="6">
    <w:abstractNumId w:val="13"/>
  </w:num>
  <w:num w:numId="7">
    <w:abstractNumId w:val="7"/>
  </w:num>
  <w:num w:numId="8">
    <w:abstractNumId w:val="7"/>
  </w:num>
  <w:num w:numId="9">
    <w:abstractNumId w:val="7"/>
  </w:num>
  <w:num w:numId="10">
    <w:abstractNumId w:val="7"/>
  </w:num>
  <w:num w:numId="11">
    <w:abstractNumId w:val="7"/>
  </w:num>
  <w:num w:numId="12">
    <w:abstractNumId w:val="18"/>
  </w:num>
  <w:num w:numId="13">
    <w:abstractNumId w:val="2"/>
  </w:num>
  <w:num w:numId="14">
    <w:abstractNumId w:val="1"/>
  </w:num>
  <w:num w:numId="15">
    <w:abstractNumId w:val="15"/>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num>
  <w:num w:numId="22">
    <w:abstractNumId w:val="19"/>
  </w:num>
  <w:num w:numId="23">
    <w:abstractNumId w:val="2"/>
  </w:num>
  <w:num w:numId="24">
    <w:abstractNumId w:val="2"/>
  </w:num>
  <w:num w:numId="25">
    <w:abstractNumId w:val="11"/>
  </w:num>
  <w:num w:numId="26">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6"/>
  </w:num>
  <w:num w:numId="30">
    <w:abstractNumId w:val="14"/>
  </w:num>
  <w:num w:numId="31">
    <w:abstractNumId w:val="9"/>
  </w:num>
  <w:num w:numId="32">
    <w:abstractNumId w:val="17"/>
  </w:num>
  <w:num w:numId="33">
    <w:abstractNumId w:val="10"/>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A4"/>
    <w:rsid w:val="00001BDD"/>
    <w:rsid w:val="0000246D"/>
    <w:rsid w:val="00004F63"/>
    <w:rsid w:val="000076E3"/>
    <w:rsid w:val="000118FE"/>
    <w:rsid w:val="00011A5F"/>
    <w:rsid w:val="000154EB"/>
    <w:rsid w:val="000159EA"/>
    <w:rsid w:val="00021708"/>
    <w:rsid w:val="00024CF0"/>
    <w:rsid w:val="00032F60"/>
    <w:rsid w:val="000360D9"/>
    <w:rsid w:val="00041C61"/>
    <w:rsid w:val="000427AA"/>
    <w:rsid w:val="0005191D"/>
    <w:rsid w:val="00051FE6"/>
    <w:rsid w:val="00055514"/>
    <w:rsid w:val="00063D9E"/>
    <w:rsid w:val="00066035"/>
    <w:rsid w:val="000722B7"/>
    <w:rsid w:val="00074CE9"/>
    <w:rsid w:val="00076491"/>
    <w:rsid w:val="000771C5"/>
    <w:rsid w:val="00077376"/>
    <w:rsid w:val="00081AE8"/>
    <w:rsid w:val="0008362A"/>
    <w:rsid w:val="00084289"/>
    <w:rsid w:val="000851A7"/>
    <w:rsid w:val="00086DBB"/>
    <w:rsid w:val="000879A0"/>
    <w:rsid w:val="00087E2B"/>
    <w:rsid w:val="00091A2D"/>
    <w:rsid w:val="000920B9"/>
    <w:rsid w:val="00093ED8"/>
    <w:rsid w:val="00094D52"/>
    <w:rsid w:val="000951BF"/>
    <w:rsid w:val="00097F38"/>
    <w:rsid w:val="000A01CB"/>
    <w:rsid w:val="000A0D13"/>
    <w:rsid w:val="000A1A6D"/>
    <w:rsid w:val="000A4D94"/>
    <w:rsid w:val="000A706E"/>
    <w:rsid w:val="000B3E7D"/>
    <w:rsid w:val="000B42F0"/>
    <w:rsid w:val="000B5CE0"/>
    <w:rsid w:val="000C072A"/>
    <w:rsid w:val="000C1443"/>
    <w:rsid w:val="000C2C76"/>
    <w:rsid w:val="000C6CAE"/>
    <w:rsid w:val="000C6E12"/>
    <w:rsid w:val="000D1015"/>
    <w:rsid w:val="000D58A2"/>
    <w:rsid w:val="000E0037"/>
    <w:rsid w:val="000E52B0"/>
    <w:rsid w:val="000F057D"/>
    <w:rsid w:val="000F05C3"/>
    <w:rsid w:val="000F12A7"/>
    <w:rsid w:val="000F5A69"/>
    <w:rsid w:val="00102023"/>
    <w:rsid w:val="00102B85"/>
    <w:rsid w:val="0010397D"/>
    <w:rsid w:val="00105A33"/>
    <w:rsid w:val="00105D0F"/>
    <w:rsid w:val="00110B78"/>
    <w:rsid w:val="00112E97"/>
    <w:rsid w:val="001139DC"/>
    <w:rsid w:val="00114778"/>
    <w:rsid w:val="00117C9C"/>
    <w:rsid w:val="001250C9"/>
    <w:rsid w:val="0012588B"/>
    <w:rsid w:val="00125C78"/>
    <w:rsid w:val="001267FF"/>
    <w:rsid w:val="001331E7"/>
    <w:rsid w:val="00135976"/>
    <w:rsid w:val="00135D2F"/>
    <w:rsid w:val="0015087B"/>
    <w:rsid w:val="001561EE"/>
    <w:rsid w:val="0015771A"/>
    <w:rsid w:val="001628F8"/>
    <w:rsid w:val="00163A1F"/>
    <w:rsid w:val="001730CB"/>
    <w:rsid w:val="00176A25"/>
    <w:rsid w:val="001829C0"/>
    <w:rsid w:val="00191CEC"/>
    <w:rsid w:val="0019479E"/>
    <w:rsid w:val="00195BD3"/>
    <w:rsid w:val="00195DC4"/>
    <w:rsid w:val="001A1FCA"/>
    <w:rsid w:val="001A2E40"/>
    <w:rsid w:val="001A39AE"/>
    <w:rsid w:val="001B3E60"/>
    <w:rsid w:val="001B45E4"/>
    <w:rsid w:val="001B5766"/>
    <w:rsid w:val="001C00D3"/>
    <w:rsid w:val="001C4EA8"/>
    <w:rsid w:val="001C5568"/>
    <w:rsid w:val="001C7E91"/>
    <w:rsid w:val="001D1EE4"/>
    <w:rsid w:val="001D200E"/>
    <w:rsid w:val="001D36EF"/>
    <w:rsid w:val="001D5A81"/>
    <w:rsid w:val="001E1BD3"/>
    <w:rsid w:val="001F3775"/>
    <w:rsid w:val="001F3983"/>
    <w:rsid w:val="00200EFB"/>
    <w:rsid w:val="00201AAD"/>
    <w:rsid w:val="00205189"/>
    <w:rsid w:val="002073DB"/>
    <w:rsid w:val="00207723"/>
    <w:rsid w:val="002119E7"/>
    <w:rsid w:val="00216851"/>
    <w:rsid w:val="002239CE"/>
    <w:rsid w:val="00226206"/>
    <w:rsid w:val="00230C52"/>
    <w:rsid w:val="002312EB"/>
    <w:rsid w:val="00243C2E"/>
    <w:rsid w:val="002524B8"/>
    <w:rsid w:val="00254246"/>
    <w:rsid w:val="00254330"/>
    <w:rsid w:val="00254783"/>
    <w:rsid w:val="002649F3"/>
    <w:rsid w:val="00264D19"/>
    <w:rsid w:val="002656C9"/>
    <w:rsid w:val="0026616C"/>
    <w:rsid w:val="00266B5F"/>
    <w:rsid w:val="00266CC3"/>
    <w:rsid w:val="00266EC2"/>
    <w:rsid w:val="00267FF4"/>
    <w:rsid w:val="00274955"/>
    <w:rsid w:val="00277C7F"/>
    <w:rsid w:val="0028296D"/>
    <w:rsid w:val="00296B94"/>
    <w:rsid w:val="0029787C"/>
    <w:rsid w:val="002A3293"/>
    <w:rsid w:val="002A7620"/>
    <w:rsid w:val="002B3B58"/>
    <w:rsid w:val="002B4460"/>
    <w:rsid w:val="002B4FCE"/>
    <w:rsid w:val="002B6D8E"/>
    <w:rsid w:val="002C15F6"/>
    <w:rsid w:val="002C1F22"/>
    <w:rsid w:val="002C244B"/>
    <w:rsid w:val="002C38D4"/>
    <w:rsid w:val="002D424B"/>
    <w:rsid w:val="002D44BE"/>
    <w:rsid w:val="002D56C6"/>
    <w:rsid w:val="002D709B"/>
    <w:rsid w:val="002E1FFF"/>
    <w:rsid w:val="002E309A"/>
    <w:rsid w:val="002E3260"/>
    <w:rsid w:val="002E4675"/>
    <w:rsid w:val="002E61E8"/>
    <w:rsid w:val="002F155B"/>
    <w:rsid w:val="002F6CA5"/>
    <w:rsid w:val="002F7033"/>
    <w:rsid w:val="002F7ACE"/>
    <w:rsid w:val="0030065E"/>
    <w:rsid w:val="00300762"/>
    <w:rsid w:val="00300D1B"/>
    <w:rsid w:val="0030148F"/>
    <w:rsid w:val="0030201B"/>
    <w:rsid w:val="003032A7"/>
    <w:rsid w:val="003052F2"/>
    <w:rsid w:val="00306114"/>
    <w:rsid w:val="003145A7"/>
    <w:rsid w:val="00317860"/>
    <w:rsid w:val="00324196"/>
    <w:rsid w:val="00325E31"/>
    <w:rsid w:val="003263ED"/>
    <w:rsid w:val="003267E3"/>
    <w:rsid w:val="00331822"/>
    <w:rsid w:val="003336F3"/>
    <w:rsid w:val="0033597D"/>
    <w:rsid w:val="0033793C"/>
    <w:rsid w:val="0034347A"/>
    <w:rsid w:val="00350D43"/>
    <w:rsid w:val="00353A4D"/>
    <w:rsid w:val="00353C92"/>
    <w:rsid w:val="00354C5D"/>
    <w:rsid w:val="00356462"/>
    <w:rsid w:val="0036062A"/>
    <w:rsid w:val="00364452"/>
    <w:rsid w:val="00366199"/>
    <w:rsid w:val="003715AA"/>
    <w:rsid w:val="00371836"/>
    <w:rsid w:val="0037370C"/>
    <w:rsid w:val="003745EB"/>
    <w:rsid w:val="0037625D"/>
    <w:rsid w:val="00384C7B"/>
    <w:rsid w:val="00384E7E"/>
    <w:rsid w:val="00387204"/>
    <w:rsid w:val="00390317"/>
    <w:rsid w:val="00392440"/>
    <w:rsid w:val="0039405A"/>
    <w:rsid w:val="0039448B"/>
    <w:rsid w:val="003A1F01"/>
    <w:rsid w:val="003A204E"/>
    <w:rsid w:val="003B3FA4"/>
    <w:rsid w:val="003B5D99"/>
    <w:rsid w:val="003B623C"/>
    <w:rsid w:val="003B65DC"/>
    <w:rsid w:val="003C0ACD"/>
    <w:rsid w:val="003C114D"/>
    <w:rsid w:val="003C5819"/>
    <w:rsid w:val="003D34B0"/>
    <w:rsid w:val="003D4474"/>
    <w:rsid w:val="003D73D9"/>
    <w:rsid w:val="003D7ADB"/>
    <w:rsid w:val="003E0499"/>
    <w:rsid w:val="003E118A"/>
    <w:rsid w:val="003E2A8B"/>
    <w:rsid w:val="003E5568"/>
    <w:rsid w:val="003E5D00"/>
    <w:rsid w:val="003F313D"/>
    <w:rsid w:val="003F6399"/>
    <w:rsid w:val="0040081D"/>
    <w:rsid w:val="004025D5"/>
    <w:rsid w:val="00404D32"/>
    <w:rsid w:val="00407178"/>
    <w:rsid w:val="0041337C"/>
    <w:rsid w:val="004142B9"/>
    <w:rsid w:val="004150C6"/>
    <w:rsid w:val="004177B2"/>
    <w:rsid w:val="004202D2"/>
    <w:rsid w:val="00426559"/>
    <w:rsid w:val="00426BFE"/>
    <w:rsid w:val="00431BF6"/>
    <w:rsid w:val="0043327F"/>
    <w:rsid w:val="004431B8"/>
    <w:rsid w:val="004447F5"/>
    <w:rsid w:val="004518D8"/>
    <w:rsid w:val="004538C5"/>
    <w:rsid w:val="00456722"/>
    <w:rsid w:val="0046055E"/>
    <w:rsid w:val="004620C5"/>
    <w:rsid w:val="00464A17"/>
    <w:rsid w:val="004708B6"/>
    <w:rsid w:val="00470AFC"/>
    <w:rsid w:val="00470DAB"/>
    <w:rsid w:val="0047738D"/>
    <w:rsid w:val="00497D4E"/>
    <w:rsid w:val="004A18DC"/>
    <w:rsid w:val="004A32AF"/>
    <w:rsid w:val="004A4394"/>
    <w:rsid w:val="004A4EB9"/>
    <w:rsid w:val="004B18DC"/>
    <w:rsid w:val="004B4FED"/>
    <w:rsid w:val="004C0E93"/>
    <w:rsid w:val="004C3EA5"/>
    <w:rsid w:val="004C46F4"/>
    <w:rsid w:val="004D0E78"/>
    <w:rsid w:val="004D0F0C"/>
    <w:rsid w:val="004D7240"/>
    <w:rsid w:val="004E0E25"/>
    <w:rsid w:val="004E3B68"/>
    <w:rsid w:val="004E3C15"/>
    <w:rsid w:val="004E4BE4"/>
    <w:rsid w:val="004E6136"/>
    <w:rsid w:val="004F0B04"/>
    <w:rsid w:val="004F14C7"/>
    <w:rsid w:val="004F1921"/>
    <w:rsid w:val="004F37C8"/>
    <w:rsid w:val="004F3A88"/>
    <w:rsid w:val="004F7355"/>
    <w:rsid w:val="00500A32"/>
    <w:rsid w:val="0050102D"/>
    <w:rsid w:val="00510194"/>
    <w:rsid w:val="00510467"/>
    <w:rsid w:val="00510698"/>
    <w:rsid w:val="00512B31"/>
    <w:rsid w:val="0051314A"/>
    <w:rsid w:val="00513B18"/>
    <w:rsid w:val="00514B40"/>
    <w:rsid w:val="00520664"/>
    <w:rsid w:val="00520CBD"/>
    <w:rsid w:val="005216B3"/>
    <w:rsid w:val="0052198C"/>
    <w:rsid w:val="00521EBB"/>
    <w:rsid w:val="00522BBE"/>
    <w:rsid w:val="00524A17"/>
    <w:rsid w:val="00525217"/>
    <w:rsid w:val="00535494"/>
    <w:rsid w:val="005364E6"/>
    <w:rsid w:val="00536A03"/>
    <w:rsid w:val="00536F7D"/>
    <w:rsid w:val="00541EBC"/>
    <w:rsid w:val="00542A71"/>
    <w:rsid w:val="00553230"/>
    <w:rsid w:val="00553326"/>
    <w:rsid w:val="00553487"/>
    <w:rsid w:val="005558DE"/>
    <w:rsid w:val="0056197C"/>
    <w:rsid w:val="00562DCC"/>
    <w:rsid w:val="0056611D"/>
    <w:rsid w:val="005669F8"/>
    <w:rsid w:val="00566A71"/>
    <w:rsid w:val="005703C1"/>
    <w:rsid w:val="00571EFB"/>
    <w:rsid w:val="00574365"/>
    <w:rsid w:val="00575CD7"/>
    <w:rsid w:val="00576AFA"/>
    <w:rsid w:val="00577C6E"/>
    <w:rsid w:val="00582470"/>
    <w:rsid w:val="005846D1"/>
    <w:rsid w:val="0058557F"/>
    <w:rsid w:val="00587138"/>
    <w:rsid w:val="00587CA4"/>
    <w:rsid w:val="0059056F"/>
    <w:rsid w:val="00594FCF"/>
    <w:rsid w:val="005A119A"/>
    <w:rsid w:val="005A27EF"/>
    <w:rsid w:val="005A2B0F"/>
    <w:rsid w:val="005A4D1A"/>
    <w:rsid w:val="005A6646"/>
    <w:rsid w:val="005A6DDA"/>
    <w:rsid w:val="005B256F"/>
    <w:rsid w:val="005B326A"/>
    <w:rsid w:val="005B4250"/>
    <w:rsid w:val="005B75D9"/>
    <w:rsid w:val="005B7F9A"/>
    <w:rsid w:val="005C50A7"/>
    <w:rsid w:val="005D1A1B"/>
    <w:rsid w:val="005D290A"/>
    <w:rsid w:val="005D4FF1"/>
    <w:rsid w:val="005D66D5"/>
    <w:rsid w:val="005D7C4C"/>
    <w:rsid w:val="005E1A00"/>
    <w:rsid w:val="005E1E75"/>
    <w:rsid w:val="005F0A37"/>
    <w:rsid w:val="005F38A3"/>
    <w:rsid w:val="005F6C47"/>
    <w:rsid w:val="006017F8"/>
    <w:rsid w:val="0060254E"/>
    <w:rsid w:val="00611001"/>
    <w:rsid w:val="00611044"/>
    <w:rsid w:val="0061282F"/>
    <w:rsid w:val="0061319F"/>
    <w:rsid w:val="00613438"/>
    <w:rsid w:val="0061386E"/>
    <w:rsid w:val="00614432"/>
    <w:rsid w:val="00617FDE"/>
    <w:rsid w:val="00622B83"/>
    <w:rsid w:val="006230AA"/>
    <w:rsid w:val="00625405"/>
    <w:rsid w:val="00626A86"/>
    <w:rsid w:val="006326C2"/>
    <w:rsid w:val="00636BDC"/>
    <w:rsid w:val="00640C01"/>
    <w:rsid w:val="00642DD4"/>
    <w:rsid w:val="006518BD"/>
    <w:rsid w:val="00652394"/>
    <w:rsid w:val="0065399F"/>
    <w:rsid w:val="006564D3"/>
    <w:rsid w:val="006604B4"/>
    <w:rsid w:val="006608C2"/>
    <w:rsid w:val="00664081"/>
    <w:rsid w:val="006658FA"/>
    <w:rsid w:val="0066689B"/>
    <w:rsid w:val="0067419A"/>
    <w:rsid w:val="00675F48"/>
    <w:rsid w:val="006810CB"/>
    <w:rsid w:val="00687C42"/>
    <w:rsid w:val="00690C84"/>
    <w:rsid w:val="0069569F"/>
    <w:rsid w:val="00696C99"/>
    <w:rsid w:val="006A1B92"/>
    <w:rsid w:val="006A20CD"/>
    <w:rsid w:val="006A2E9B"/>
    <w:rsid w:val="006A3975"/>
    <w:rsid w:val="006A69F3"/>
    <w:rsid w:val="006B1108"/>
    <w:rsid w:val="006B2E3E"/>
    <w:rsid w:val="006B6E3D"/>
    <w:rsid w:val="006C34A9"/>
    <w:rsid w:val="006C55E6"/>
    <w:rsid w:val="006C638D"/>
    <w:rsid w:val="006D1B0B"/>
    <w:rsid w:val="006D346C"/>
    <w:rsid w:val="006D37B5"/>
    <w:rsid w:val="006E2EA2"/>
    <w:rsid w:val="006E3724"/>
    <w:rsid w:val="006F03A1"/>
    <w:rsid w:val="006F0B2B"/>
    <w:rsid w:val="006F129D"/>
    <w:rsid w:val="006F2612"/>
    <w:rsid w:val="006F78F0"/>
    <w:rsid w:val="00700878"/>
    <w:rsid w:val="007037F8"/>
    <w:rsid w:val="00704A73"/>
    <w:rsid w:val="00705169"/>
    <w:rsid w:val="00710096"/>
    <w:rsid w:val="00715548"/>
    <w:rsid w:val="00716EDB"/>
    <w:rsid w:val="00717C02"/>
    <w:rsid w:val="00724B9D"/>
    <w:rsid w:val="00725E28"/>
    <w:rsid w:val="00725EE9"/>
    <w:rsid w:val="00733CB1"/>
    <w:rsid w:val="0073620B"/>
    <w:rsid w:val="00744656"/>
    <w:rsid w:val="00745418"/>
    <w:rsid w:val="00745F0A"/>
    <w:rsid w:val="0075067F"/>
    <w:rsid w:val="00753387"/>
    <w:rsid w:val="00753648"/>
    <w:rsid w:val="007567B4"/>
    <w:rsid w:val="00761119"/>
    <w:rsid w:val="00764B43"/>
    <w:rsid w:val="007652E7"/>
    <w:rsid w:val="00766E2B"/>
    <w:rsid w:val="00770CAE"/>
    <w:rsid w:val="007751BB"/>
    <w:rsid w:val="007779F1"/>
    <w:rsid w:val="0078065B"/>
    <w:rsid w:val="007819FB"/>
    <w:rsid w:val="00781A1E"/>
    <w:rsid w:val="00781DDB"/>
    <w:rsid w:val="00787444"/>
    <w:rsid w:val="007875E2"/>
    <w:rsid w:val="00790473"/>
    <w:rsid w:val="00790596"/>
    <w:rsid w:val="007910D4"/>
    <w:rsid w:val="00792776"/>
    <w:rsid w:val="00794FCD"/>
    <w:rsid w:val="00797811"/>
    <w:rsid w:val="007A1535"/>
    <w:rsid w:val="007A2537"/>
    <w:rsid w:val="007A482F"/>
    <w:rsid w:val="007A6D8F"/>
    <w:rsid w:val="007A6FE1"/>
    <w:rsid w:val="007B23F9"/>
    <w:rsid w:val="007B32B8"/>
    <w:rsid w:val="007B4336"/>
    <w:rsid w:val="007C38B2"/>
    <w:rsid w:val="007C460F"/>
    <w:rsid w:val="007D2BB1"/>
    <w:rsid w:val="007D31B0"/>
    <w:rsid w:val="007D31BF"/>
    <w:rsid w:val="007D3FEC"/>
    <w:rsid w:val="007D5F86"/>
    <w:rsid w:val="007E0055"/>
    <w:rsid w:val="007E1554"/>
    <w:rsid w:val="007E4965"/>
    <w:rsid w:val="007E4E47"/>
    <w:rsid w:val="007E6728"/>
    <w:rsid w:val="007F04A0"/>
    <w:rsid w:val="007F2B7D"/>
    <w:rsid w:val="007F3F70"/>
    <w:rsid w:val="007F7137"/>
    <w:rsid w:val="0080240F"/>
    <w:rsid w:val="0080483E"/>
    <w:rsid w:val="008079E9"/>
    <w:rsid w:val="008128D4"/>
    <w:rsid w:val="00812953"/>
    <w:rsid w:val="00812A84"/>
    <w:rsid w:val="008141EA"/>
    <w:rsid w:val="00814D35"/>
    <w:rsid w:val="008164D5"/>
    <w:rsid w:val="008207E8"/>
    <w:rsid w:val="008254D8"/>
    <w:rsid w:val="008265F0"/>
    <w:rsid w:val="00832021"/>
    <w:rsid w:val="00840910"/>
    <w:rsid w:val="00843C15"/>
    <w:rsid w:val="0084424D"/>
    <w:rsid w:val="00846C42"/>
    <w:rsid w:val="00846CDD"/>
    <w:rsid w:val="0084718E"/>
    <w:rsid w:val="00853C81"/>
    <w:rsid w:val="0085408F"/>
    <w:rsid w:val="008541F2"/>
    <w:rsid w:val="0086051A"/>
    <w:rsid w:val="00865CCB"/>
    <w:rsid w:val="008701AC"/>
    <w:rsid w:val="00871FAD"/>
    <w:rsid w:val="00872101"/>
    <w:rsid w:val="00872DAB"/>
    <w:rsid w:val="0087357C"/>
    <w:rsid w:val="00887065"/>
    <w:rsid w:val="008907FD"/>
    <w:rsid w:val="00892439"/>
    <w:rsid w:val="0089273B"/>
    <w:rsid w:val="008946E5"/>
    <w:rsid w:val="00894F45"/>
    <w:rsid w:val="00895EAB"/>
    <w:rsid w:val="008A0E65"/>
    <w:rsid w:val="008A3AD9"/>
    <w:rsid w:val="008A5B71"/>
    <w:rsid w:val="008A611E"/>
    <w:rsid w:val="008A77CC"/>
    <w:rsid w:val="008B1E5B"/>
    <w:rsid w:val="008B24AC"/>
    <w:rsid w:val="008B6E25"/>
    <w:rsid w:val="008B731E"/>
    <w:rsid w:val="008C0BE7"/>
    <w:rsid w:val="008C3296"/>
    <w:rsid w:val="008C5C4D"/>
    <w:rsid w:val="008D0AE5"/>
    <w:rsid w:val="008D310A"/>
    <w:rsid w:val="008D718D"/>
    <w:rsid w:val="008E02D6"/>
    <w:rsid w:val="008E382F"/>
    <w:rsid w:val="008E7462"/>
    <w:rsid w:val="008F090B"/>
    <w:rsid w:val="008F355C"/>
    <w:rsid w:val="008F5418"/>
    <w:rsid w:val="00901533"/>
    <w:rsid w:val="009020D2"/>
    <w:rsid w:val="009118BF"/>
    <w:rsid w:val="009141F2"/>
    <w:rsid w:val="00914382"/>
    <w:rsid w:val="0091709D"/>
    <w:rsid w:val="00917800"/>
    <w:rsid w:val="00917C7E"/>
    <w:rsid w:val="00925DBD"/>
    <w:rsid w:val="009267B1"/>
    <w:rsid w:val="00931F38"/>
    <w:rsid w:val="0093265C"/>
    <w:rsid w:val="00933081"/>
    <w:rsid w:val="009348B9"/>
    <w:rsid w:val="00947E80"/>
    <w:rsid w:val="00961020"/>
    <w:rsid w:val="00964964"/>
    <w:rsid w:val="00972A09"/>
    <w:rsid w:val="00977F96"/>
    <w:rsid w:val="00986460"/>
    <w:rsid w:val="00991F57"/>
    <w:rsid w:val="00995B9E"/>
    <w:rsid w:val="009A30C6"/>
    <w:rsid w:val="009A7A1D"/>
    <w:rsid w:val="009B163B"/>
    <w:rsid w:val="009B1B3C"/>
    <w:rsid w:val="009B5649"/>
    <w:rsid w:val="009B5C08"/>
    <w:rsid w:val="009C0210"/>
    <w:rsid w:val="009C2251"/>
    <w:rsid w:val="009C3182"/>
    <w:rsid w:val="009C46EF"/>
    <w:rsid w:val="009D0A22"/>
    <w:rsid w:val="009D1C8A"/>
    <w:rsid w:val="009D40E5"/>
    <w:rsid w:val="009D4898"/>
    <w:rsid w:val="009D7F16"/>
    <w:rsid w:val="009E0EAC"/>
    <w:rsid w:val="009E1DDE"/>
    <w:rsid w:val="009E2BFB"/>
    <w:rsid w:val="009E2D7C"/>
    <w:rsid w:val="009E3D84"/>
    <w:rsid w:val="009E3DBD"/>
    <w:rsid w:val="009F2075"/>
    <w:rsid w:val="009F4600"/>
    <w:rsid w:val="009F4CE4"/>
    <w:rsid w:val="009F6259"/>
    <w:rsid w:val="00A006C9"/>
    <w:rsid w:val="00A016D1"/>
    <w:rsid w:val="00A03B45"/>
    <w:rsid w:val="00A03D02"/>
    <w:rsid w:val="00A0596D"/>
    <w:rsid w:val="00A068FC"/>
    <w:rsid w:val="00A06D79"/>
    <w:rsid w:val="00A07954"/>
    <w:rsid w:val="00A11311"/>
    <w:rsid w:val="00A120B2"/>
    <w:rsid w:val="00A12687"/>
    <w:rsid w:val="00A13695"/>
    <w:rsid w:val="00A154C9"/>
    <w:rsid w:val="00A207DA"/>
    <w:rsid w:val="00A21686"/>
    <w:rsid w:val="00A2275B"/>
    <w:rsid w:val="00A227C4"/>
    <w:rsid w:val="00A25693"/>
    <w:rsid w:val="00A2627B"/>
    <w:rsid w:val="00A300F7"/>
    <w:rsid w:val="00A31756"/>
    <w:rsid w:val="00A33418"/>
    <w:rsid w:val="00A3500D"/>
    <w:rsid w:val="00A351A0"/>
    <w:rsid w:val="00A3527A"/>
    <w:rsid w:val="00A35AFF"/>
    <w:rsid w:val="00A371F4"/>
    <w:rsid w:val="00A409F1"/>
    <w:rsid w:val="00A50EC3"/>
    <w:rsid w:val="00A52A94"/>
    <w:rsid w:val="00A608AC"/>
    <w:rsid w:val="00A60927"/>
    <w:rsid w:val="00A629E9"/>
    <w:rsid w:val="00A64D90"/>
    <w:rsid w:val="00A66E30"/>
    <w:rsid w:val="00A67CEB"/>
    <w:rsid w:val="00A710D7"/>
    <w:rsid w:val="00A74C32"/>
    <w:rsid w:val="00A7680F"/>
    <w:rsid w:val="00A83745"/>
    <w:rsid w:val="00A868F4"/>
    <w:rsid w:val="00A96C78"/>
    <w:rsid w:val="00AA08B3"/>
    <w:rsid w:val="00AA2B8D"/>
    <w:rsid w:val="00AA69E9"/>
    <w:rsid w:val="00AB0C80"/>
    <w:rsid w:val="00AB0E00"/>
    <w:rsid w:val="00AB117E"/>
    <w:rsid w:val="00AB503C"/>
    <w:rsid w:val="00AB7105"/>
    <w:rsid w:val="00AC011A"/>
    <w:rsid w:val="00AC4169"/>
    <w:rsid w:val="00AD22CC"/>
    <w:rsid w:val="00AD3780"/>
    <w:rsid w:val="00AD432A"/>
    <w:rsid w:val="00AD6886"/>
    <w:rsid w:val="00AF0FDE"/>
    <w:rsid w:val="00AF5149"/>
    <w:rsid w:val="00AF7750"/>
    <w:rsid w:val="00B031E4"/>
    <w:rsid w:val="00B03993"/>
    <w:rsid w:val="00B06EB3"/>
    <w:rsid w:val="00B145DC"/>
    <w:rsid w:val="00B15F20"/>
    <w:rsid w:val="00B15F8B"/>
    <w:rsid w:val="00B1688D"/>
    <w:rsid w:val="00B21316"/>
    <w:rsid w:val="00B223E7"/>
    <w:rsid w:val="00B22EA5"/>
    <w:rsid w:val="00B22F3C"/>
    <w:rsid w:val="00B2361E"/>
    <w:rsid w:val="00B244DC"/>
    <w:rsid w:val="00B36FD1"/>
    <w:rsid w:val="00B37110"/>
    <w:rsid w:val="00B4308B"/>
    <w:rsid w:val="00B45433"/>
    <w:rsid w:val="00B511B2"/>
    <w:rsid w:val="00B535F0"/>
    <w:rsid w:val="00B56847"/>
    <w:rsid w:val="00B626AD"/>
    <w:rsid w:val="00B650D8"/>
    <w:rsid w:val="00B653A5"/>
    <w:rsid w:val="00B701E3"/>
    <w:rsid w:val="00B71605"/>
    <w:rsid w:val="00B7187D"/>
    <w:rsid w:val="00B7675C"/>
    <w:rsid w:val="00B76DDE"/>
    <w:rsid w:val="00B772DB"/>
    <w:rsid w:val="00B80227"/>
    <w:rsid w:val="00B807DD"/>
    <w:rsid w:val="00B81FC8"/>
    <w:rsid w:val="00B845D3"/>
    <w:rsid w:val="00B84F26"/>
    <w:rsid w:val="00B85166"/>
    <w:rsid w:val="00B9274A"/>
    <w:rsid w:val="00B9292D"/>
    <w:rsid w:val="00B936C9"/>
    <w:rsid w:val="00B9577E"/>
    <w:rsid w:val="00B968FD"/>
    <w:rsid w:val="00B96FE4"/>
    <w:rsid w:val="00BA1F62"/>
    <w:rsid w:val="00BA2089"/>
    <w:rsid w:val="00BA3DC7"/>
    <w:rsid w:val="00BA62F9"/>
    <w:rsid w:val="00BA7012"/>
    <w:rsid w:val="00BB0A3D"/>
    <w:rsid w:val="00BB1356"/>
    <w:rsid w:val="00BB16FC"/>
    <w:rsid w:val="00BB36F1"/>
    <w:rsid w:val="00BB583C"/>
    <w:rsid w:val="00BB5FEF"/>
    <w:rsid w:val="00BB6FE0"/>
    <w:rsid w:val="00BC0611"/>
    <w:rsid w:val="00BC3761"/>
    <w:rsid w:val="00BC4DF7"/>
    <w:rsid w:val="00BC56BF"/>
    <w:rsid w:val="00BD21FA"/>
    <w:rsid w:val="00BD4A94"/>
    <w:rsid w:val="00BE2DDE"/>
    <w:rsid w:val="00BE3188"/>
    <w:rsid w:val="00BE7B3A"/>
    <w:rsid w:val="00BF0887"/>
    <w:rsid w:val="00C00A3E"/>
    <w:rsid w:val="00C06210"/>
    <w:rsid w:val="00C0708A"/>
    <w:rsid w:val="00C10FA7"/>
    <w:rsid w:val="00C123CC"/>
    <w:rsid w:val="00C12D4A"/>
    <w:rsid w:val="00C12E2A"/>
    <w:rsid w:val="00C164C7"/>
    <w:rsid w:val="00C17D17"/>
    <w:rsid w:val="00C22A4F"/>
    <w:rsid w:val="00C23CC6"/>
    <w:rsid w:val="00C34AE4"/>
    <w:rsid w:val="00C36F02"/>
    <w:rsid w:val="00C40324"/>
    <w:rsid w:val="00C41FAC"/>
    <w:rsid w:val="00C513C7"/>
    <w:rsid w:val="00C51A73"/>
    <w:rsid w:val="00C52F7B"/>
    <w:rsid w:val="00C5684F"/>
    <w:rsid w:val="00C60FAB"/>
    <w:rsid w:val="00C660DC"/>
    <w:rsid w:val="00C66501"/>
    <w:rsid w:val="00C67BE8"/>
    <w:rsid w:val="00C71FB7"/>
    <w:rsid w:val="00C73B91"/>
    <w:rsid w:val="00C744E9"/>
    <w:rsid w:val="00C74AE4"/>
    <w:rsid w:val="00C757AD"/>
    <w:rsid w:val="00C7614C"/>
    <w:rsid w:val="00C81BE8"/>
    <w:rsid w:val="00C830B4"/>
    <w:rsid w:val="00C85815"/>
    <w:rsid w:val="00C85A27"/>
    <w:rsid w:val="00C90EC4"/>
    <w:rsid w:val="00C92139"/>
    <w:rsid w:val="00C92B67"/>
    <w:rsid w:val="00C92CE4"/>
    <w:rsid w:val="00C94446"/>
    <w:rsid w:val="00C95C71"/>
    <w:rsid w:val="00CA0C44"/>
    <w:rsid w:val="00CA16CA"/>
    <w:rsid w:val="00CA3240"/>
    <w:rsid w:val="00CA3CF3"/>
    <w:rsid w:val="00CA441D"/>
    <w:rsid w:val="00CA70DC"/>
    <w:rsid w:val="00CA7AE2"/>
    <w:rsid w:val="00CB15E8"/>
    <w:rsid w:val="00CB2495"/>
    <w:rsid w:val="00CC16A3"/>
    <w:rsid w:val="00CC2D33"/>
    <w:rsid w:val="00CC302C"/>
    <w:rsid w:val="00CC5481"/>
    <w:rsid w:val="00CC62B0"/>
    <w:rsid w:val="00CC672B"/>
    <w:rsid w:val="00CD093F"/>
    <w:rsid w:val="00CD0C12"/>
    <w:rsid w:val="00CD5C13"/>
    <w:rsid w:val="00CD6867"/>
    <w:rsid w:val="00CE0A31"/>
    <w:rsid w:val="00CE2AF0"/>
    <w:rsid w:val="00CF0295"/>
    <w:rsid w:val="00CF1F41"/>
    <w:rsid w:val="00CF365F"/>
    <w:rsid w:val="00CF6E37"/>
    <w:rsid w:val="00D00E92"/>
    <w:rsid w:val="00D025F6"/>
    <w:rsid w:val="00D036D2"/>
    <w:rsid w:val="00D0507F"/>
    <w:rsid w:val="00D0600F"/>
    <w:rsid w:val="00D15040"/>
    <w:rsid w:val="00D303B1"/>
    <w:rsid w:val="00D318F1"/>
    <w:rsid w:val="00D31EE0"/>
    <w:rsid w:val="00D34076"/>
    <w:rsid w:val="00D42406"/>
    <w:rsid w:val="00D45760"/>
    <w:rsid w:val="00D46564"/>
    <w:rsid w:val="00D469BE"/>
    <w:rsid w:val="00D4703B"/>
    <w:rsid w:val="00D475C0"/>
    <w:rsid w:val="00D4789D"/>
    <w:rsid w:val="00D50872"/>
    <w:rsid w:val="00D60207"/>
    <w:rsid w:val="00D61FD7"/>
    <w:rsid w:val="00D655FB"/>
    <w:rsid w:val="00D71A17"/>
    <w:rsid w:val="00D73661"/>
    <w:rsid w:val="00D74DAE"/>
    <w:rsid w:val="00D74E93"/>
    <w:rsid w:val="00D77497"/>
    <w:rsid w:val="00D8071B"/>
    <w:rsid w:val="00D81B3C"/>
    <w:rsid w:val="00D81D24"/>
    <w:rsid w:val="00D82E07"/>
    <w:rsid w:val="00D85C73"/>
    <w:rsid w:val="00D86315"/>
    <w:rsid w:val="00D90AA8"/>
    <w:rsid w:val="00D91077"/>
    <w:rsid w:val="00D91B68"/>
    <w:rsid w:val="00D94AEE"/>
    <w:rsid w:val="00D96D37"/>
    <w:rsid w:val="00DA1A56"/>
    <w:rsid w:val="00DA2102"/>
    <w:rsid w:val="00DA4A6B"/>
    <w:rsid w:val="00DA52B3"/>
    <w:rsid w:val="00DA6771"/>
    <w:rsid w:val="00DB0E06"/>
    <w:rsid w:val="00DB2257"/>
    <w:rsid w:val="00DB58FF"/>
    <w:rsid w:val="00DC1808"/>
    <w:rsid w:val="00DC2BB3"/>
    <w:rsid w:val="00DC4685"/>
    <w:rsid w:val="00DD189B"/>
    <w:rsid w:val="00DD1EC0"/>
    <w:rsid w:val="00DD4AC6"/>
    <w:rsid w:val="00DD654F"/>
    <w:rsid w:val="00DE02C0"/>
    <w:rsid w:val="00DE313B"/>
    <w:rsid w:val="00DE4DF1"/>
    <w:rsid w:val="00DF0488"/>
    <w:rsid w:val="00DF1678"/>
    <w:rsid w:val="00DF2ADF"/>
    <w:rsid w:val="00DF5A7D"/>
    <w:rsid w:val="00E02329"/>
    <w:rsid w:val="00E04B57"/>
    <w:rsid w:val="00E07727"/>
    <w:rsid w:val="00E16167"/>
    <w:rsid w:val="00E16225"/>
    <w:rsid w:val="00E17118"/>
    <w:rsid w:val="00E17EED"/>
    <w:rsid w:val="00E20A23"/>
    <w:rsid w:val="00E23ECA"/>
    <w:rsid w:val="00E30056"/>
    <w:rsid w:val="00E319FB"/>
    <w:rsid w:val="00E320BA"/>
    <w:rsid w:val="00E33F6E"/>
    <w:rsid w:val="00E34889"/>
    <w:rsid w:val="00E3773C"/>
    <w:rsid w:val="00E379E7"/>
    <w:rsid w:val="00E37D6F"/>
    <w:rsid w:val="00E42E85"/>
    <w:rsid w:val="00E44D8A"/>
    <w:rsid w:val="00E46246"/>
    <w:rsid w:val="00E5657A"/>
    <w:rsid w:val="00E56C5B"/>
    <w:rsid w:val="00E57103"/>
    <w:rsid w:val="00E57162"/>
    <w:rsid w:val="00E6086A"/>
    <w:rsid w:val="00E60D0B"/>
    <w:rsid w:val="00E63821"/>
    <w:rsid w:val="00E64551"/>
    <w:rsid w:val="00E67E62"/>
    <w:rsid w:val="00E70CD5"/>
    <w:rsid w:val="00E713D5"/>
    <w:rsid w:val="00E71705"/>
    <w:rsid w:val="00E72302"/>
    <w:rsid w:val="00E746E4"/>
    <w:rsid w:val="00E77263"/>
    <w:rsid w:val="00E81AC3"/>
    <w:rsid w:val="00E84628"/>
    <w:rsid w:val="00E86B07"/>
    <w:rsid w:val="00E87E18"/>
    <w:rsid w:val="00E94BD0"/>
    <w:rsid w:val="00E95B10"/>
    <w:rsid w:val="00E96861"/>
    <w:rsid w:val="00EA4C51"/>
    <w:rsid w:val="00EA4E2D"/>
    <w:rsid w:val="00EA63FD"/>
    <w:rsid w:val="00EB00F0"/>
    <w:rsid w:val="00EB5230"/>
    <w:rsid w:val="00EB5420"/>
    <w:rsid w:val="00EB5463"/>
    <w:rsid w:val="00EB7966"/>
    <w:rsid w:val="00EB7DB3"/>
    <w:rsid w:val="00EC2CAB"/>
    <w:rsid w:val="00EC3AA0"/>
    <w:rsid w:val="00EC5378"/>
    <w:rsid w:val="00EC639F"/>
    <w:rsid w:val="00ED03DD"/>
    <w:rsid w:val="00ED44A0"/>
    <w:rsid w:val="00EE184D"/>
    <w:rsid w:val="00EE3A45"/>
    <w:rsid w:val="00EE54E7"/>
    <w:rsid w:val="00EF21B1"/>
    <w:rsid w:val="00EF627F"/>
    <w:rsid w:val="00EF697F"/>
    <w:rsid w:val="00F028C7"/>
    <w:rsid w:val="00F02E2B"/>
    <w:rsid w:val="00F06020"/>
    <w:rsid w:val="00F066EF"/>
    <w:rsid w:val="00F0776B"/>
    <w:rsid w:val="00F16EE8"/>
    <w:rsid w:val="00F17228"/>
    <w:rsid w:val="00F23C5F"/>
    <w:rsid w:val="00F25867"/>
    <w:rsid w:val="00F30607"/>
    <w:rsid w:val="00F3229F"/>
    <w:rsid w:val="00F36155"/>
    <w:rsid w:val="00F3622E"/>
    <w:rsid w:val="00F37399"/>
    <w:rsid w:val="00F43B10"/>
    <w:rsid w:val="00F47C48"/>
    <w:rsid w:val="00F51B14"/>
    <w:rsid w:val="00F542B0"/>
    <w:rsid w:val="00F55184"/>
    <w:rsid w:val="00F6043D"/>
    <w:rsid w:val="00F61F0C"/>
    <w:rsid w:val="00F629BA"/>
    <w:rsid w:val="00F6400D"/>
    <w:rsid w:val="00F72F1F"/>
    <w:rsid w:val="00F74AA0"/>
    <w:rsid w:val="00F75267"/>
    <w:rsid w:val="00F75B15"/>
    <w:rsid w:val="00F80B59"/>
    <w:rsid w:val="00F8282A"/>
    <w:rsid w:val="00F82B2D"/>
    <w:rsid w:val="00F85157"/>
    <w:rsid w:val="00F8612D"/>
    <w:rsid w:val="00F867FC"/>
    <w:rsid w:val="00F87231"/>
    <w:rsid w:val="00F879DB"/>
    <w:rsid w:val="00F909A5"/>
    <w:rsid w:val="00F924F3"/>
    <w:rsid w:val="00F9566C"/>
    <w:rsid w:val="00F96C62"/>
    <w:rsid w:val="00F97892"/>
    <w:rsid w:val="00F978F6"/>
    <w:rsid w:val="00FA3EFD"/>
    <w:rsid w:val="00FA731E"/>
    <w:rsid w:val="00FB7016"/>
    <w:rsid w:val="00FB794A"/>
    <w:rsid w:val="00FB7CB5"/>
    <w:rsid w:val="00FC0E45"/>
    <w:rsid w:val="00FC230B"/>
    <w:rsid w:val="00FC5A13"/>
    <w:rsid w:val="00FC5C58"/>
    <w:rsid w:val="00FC602A"/>
    <w:rsid w:val="00FD2FA8"/>
    <w:rsid w:val="00FE257E"/>
    <w:rsid w:val="00FE374A"/>
    <w:rsid w:val="00FE3F2E"/>
    <w:rsid w:val="00FE54FB"/>
    <w:rsid w:val="00FE59A5"/>
    <w:rsid w:val="00FE76A9"/>
    <w:rsid w:val="00FF00E5"/>
    <w:rsid w:val="00FF2A21"/>
    <w:rsid w:val="00FF3782"/>
    <w:rsid w:val="00FF6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C0"/>
    <w:pPr>
      <w:spacing w:after="200" w:line="240" w:lineRule="atLeast"/>
    </w:pPr>
    <w:rPr>
      <w:color w:val="6F6F6E"/>
      <w:sz w:val="17"/>
    </w:rPr>
  </w:style>
  <w:style w:type="paragraph" w:styleId="Heading1">
    <w:name w:val="heading 1"/>
    <w:basedOn w:val="Normal"/>
    <w:next w:val="Normal"/>
    <w:link w:val="Heading1Char"/>
    <w:uiPriority w:val="9"/>
    <w:qFormat/>
    <w:rsid w:val="00364452"/>
    <w:pPr>
      <w:keepNext/>
      <w:keepLines/>
      <w:spacing w:after="480" w:line="600" w:lineRule="exact"/>
      <w:outlineLvl w:val="0"/>
    </w:pPr>
    <w:rPr>
      <w:rFonts w:asciiTheme="majorHAnsi" w:eastAsiaTheme="majorEastAsia" w:hAnsiTheme="majorHAnsi" w:cstheme="majorBidi"/>
      <w:sz w:val="56"/>
      <w:szCs w:val="32"/>
    </w:rPr>
  </w:style>
  <w:style w:type="paragraph" w:styleId="Heading2">
    <w:name w:val="heading 2"/>
    <w:basedOn w:val="Normal"/>
    <w:next w:val="Normal"/>
    <w:link w:val="Heading2Char"/>
    <w:uiPriority w:val="9"/>
    <w:unhideWhenUsed/>
    <w:qFormat/>
    <w:rsid w:val="006B1108"/>
    <w:pPr>
      <w:keepNext/>
      <w:keepLines/>
      <w:spacing w:after="600" w:line="600" w:lineRule="exact"/>
      <w:outlineLvl w:val="1"/>
    </w:pPr>
    <w:rPr>
      <w:rFonts w:asciiTheme="majorHAnsi" w:eastAsiaTheme="majorEastAsia" w:hAnsiTheme="majorHAnsi" w:cstheme="majorBidi"/>
      <w:i/>
      <w:color w:val="93B6BB"/>
      <w:sz w:val="56"/>
      <w:szCs w:val="26"/>
    </w:rPr>
  </w:style>
  <w:style w:type="paragraph" w:styleId="Heading3">
    <w:name w:val="heading 3"/>
    <w:basedOn w:val="Normal"/>
    <w:next w:val="Normal"/>
    <w:link w:val="Heading3Char"/>
    <w:uiPriority w:val="9"/>
    <w:unhideWhenUsed/>
    <w:qFormat/>
    <w:rsid w:val="00AB503C"/>
    <w:pPr>
      <w:keepNext/>
      <w:keepLines/>
      <w:spacing w:before="40" w:after="0"/>
      <w:outlineLvl w:val="2"/>
    </w:pPr>
    <w:rPr>
      <w:rFonts w:asciiTheme="majorHAnsi" w:eastAsiaTheme="majorEastAsia" w:hAnsiTheme="majorHAnsi" w:cstheme="majorBidi"/>
      <w:b/>
      <w:caps/>
      <w:color w:val="93B6BB"/>
      <w:szCs w:val="24"/>
    </w:rPr>
  </w:style>
  <w:style w:type="paragraph" w:styleId="Heading4">
    <w:name w:val="heading 4"/>
    <w:basedOn w:val="Normal"/>
    <w:next w:val="Normal"/>
    <w:link w:val="Heading4Char"/>
    <w:uiPriority w:val="9"/>
    <w:unhideWhenUsed/>
    <w:qFormat/>
    <w:rsid w:val="00AB503C"/>
    <w:pPr>
      <w:keepNext/>
      <w:keepLines/>
      <w:spacing w:before="40" w:after="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F48"/>
    <w:pPr>
      <w:pBdr>
        <w:bottom w:val="single" w:sz="4" w:space="4" w:color="93B6BB"/>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675F48"/>
    <w:rPr>
      <w:color w:val="6F6F6E"/>
      <w:sz w:val="16"/>
    </w:rPr>
  </w:style>
  <w:style w:type="paragraph" w:styleId="Footer">
    <w:name w:val="footer"/>
    <w:basedOn w:val="Normal"/>
    <w:link w:val="FooterChar"/>
    <w:uiPriority w:val="99"/>
    <w:unhideWhenUsed/>
    <w:rsid w:val="00675F48"/>
    <w:pPr>
      <w:pBdr>
        <w:top w:val="single" w:sz="4" w:space="4" w:color="93B6BB"/>
      </w:pBdr>
      <w:tabs>
        <w:tab w:val="center" w:pos="4513"/>
        <w:tab w:val="right" w:pos="9026"/>
      </w:tabs>
      <w:spacing w:after="0" w:line="240" w:lineRule="auto"/>
    </w:pPr>
  </w:style>
  <w:style w:type="character" w:customStyle="1" w:styleId="FooterChar">
    <w:name w:val="Footer Char"/>
    <w:basedOn w:val="DefaultParagraphFont"/>
    <w:link w:val="Footer"/>
    <w:uiPriority w:val="99"/>
    <w:rsid w:val="00675F48"/>
    <w:rPr>
      <w:color w:val="6F6F6E"/>
      <w:sz w:val="17"/>
    </w:rPr>
  </w:style>
  <w:style w:type="character" w:customStyle="1" w:styleId="Heading1Char">
    <w:name w:val="Heading 1 Char"/>
    <w:basedOn w:val="DefaultParagraphFont"/>
    <w:link w:val="Heading1"/>
    <w:uiPriority w:val="9"/>
    <w:rsid w:val="00364452"/>
    <w:rPr>
      <w:rFonts w:asciiTheme="majorHAnsi" w:eastAsiaTheme="majorEastAsia" w:hAnsiTheme="majorHAnsi" w:cstheme="majorBidi"/>
      <w:color w:val="6F6F6E"/>
      <w:sz w:val="56"/>
      <w:szCs w:val="32"/>
    </w:rPr>
  </w:style>
  <w:style w:type="character" w:customStyle="1" w:styleId="Heading2Char">
    <w:name w:val="Heading 2 Char"/>
    <w:basedOn w:val="DefaultParagraphFont"/>
    <w:link w:val="Heading2"/>
    <w:uiPriority w:val="9"/>
    <w:rsid w:val="006B1108"/>
    <w:rPr>
      <w:rFonts w:asciiTheme="majorHAnsi" w:eastAsiaTheme="majorEastAsia" w:hAnsiTheme="majorHAnsi" w:cstheme="majorBidi"/>
      <w:i/>
      <w:color w:val="93B6BB"/>
      <w:sz w:val="56"/>
      <w:szCs w:val="26"/>
    </w:rPr>
  </w:style>
  <w:style w:type="paragraph" w:customStyle="1" w:styleId="Intro">
    <w:name w:val="Intro"/>
    <w:basedOn w:val="Normal"/>
    <w:qFormat/>
    <w:rsid w:val="00675F48"/>
    <w:pPr>
      <w:spacing w:before="200" w:after="400" w:line="400" w:lineRule="exact"/>
    </w:pPr>
    <w:rPr>
      <w:sz w:val="36"/>
    </w:rPr>
  </w:style>
  <w:style w:type="character" w:customStyle="1" w:styleId="Heading3Char">
    <w:name w:val="Heading 3 Char"/>
    <w:basedOn w:val="DefaultParagraphFont"/>
    <w:link w:val="Heading3"/>
    <w:uiPriority w:val="9"/>
    <w:rsid w:val="00AB503C"/>
    <w:rPr>
      <w:rFonts w:asciiTheme="majorHAnsi" w:eastAsiaTheme="majorEastAsia" w:hAnsiTheme="majorHAnsi" w:cstheme="majorBidi"/>
      <w:b/>
      <w:caps/>
      <w:color w:val="93B6BB"/>
      <w:sz w:val="17"/>
      <w:szCs w:val="24"/>
    </w:rPr>
  </w:style>
  <w:style w:type="paragraph" w:customStyle="1" w:styleId="Footnote">
    <w:name w:val="Footnote"/>
    <w:basedOn w:val="Normal"/>
    <w:qFormat/>
    <w:rsid w:val="00D73661"/>
    <w:pPr>
      <w:spacing w:before="60" w:after="60" w:line="160" w:lineRule="exact"/>
      <w:ind w:left="284" w:hanging="284"/>
    </w:pPr>
    <w:rPr>
      <w:sz w:val="12"/>
    </w:rPr>
  </w:style>
  <w:style w:type="character" w:customStyle="1" w:styleId="Heading4Char">
    <w:name w:val="Heading 4 Char"/>
    <w:basedOn w:val="DefaultParagraphFont"/>
    <w:link w:val="Heading4"/>
    <w:uiPriority w:val="9"/>
    <w:rsid w:val="00AB503C"/>
    <w:rPr>
      <w:rFonts w:asciiTheme="majorHAnsi" w:eastAsiaTheme="majorEastAsia" w:hAnsiTheme="majorHAnsi" w:cstheme="majorBidi"/>
      <w:b/>
      <w:iCs/>
      <w:color w:val="6F6F6E"/>
      <w:sz w:val="17"/>
    </w:rPr>
  </w:style>
  <w:style w:type="paragraph" w:styleId="BodyText">
    <w:name w:val="Body Text"/>
    <w:basedOn w:val="Normal"/>
    <w:link w:val="BodyTextChar"/>
    <w:uiPriority w:val="1"/>
    <w:qFormat/>
    <w:rsid w:val="00CF0295"/>
    <w:pPr>
      <w:autoSpaceDE w:val="0"/>
      <w:autoSpaceDN w:val="0"/>
      <w:adjustRightInd w:val="0"/>
      <w:spacing w:after="0" w:line="240" w:lineRule="auto"/>
    </w:pPr>
    <w:rPr>
      <w:rFonts w:ascii="Calibri" w:hAnsi="Calibri" w:cs="Calibri"/>
      <w:color w:val="auto"/>
      <w:sz w:val="14"/>
      <w:szCs w:val="14"/>
    </w:rPr>
  </w:style>
  <w:style w:type="character" w:customStyle="1" w:styleId="BodyTextChar">
    <w:name w:val="Body Text Char"/>
    <w:basedOn w:val="DefaultParagraphFont"/>
    <w:link w:val="BodyText"/>
    <w:uiPriority w:val="1"/>
    <w:rsid w:val="00CF0295"/>
    <w:rPr>
      <w:rFonts w:ascii="Calibri" w:hAnsi="Calibri" w:cs="Calibri"/>
      <w:sz w:val="14"/>
      <w:szCs w:val="14"/>
    </w:rPr>
  </w:style>
  <w:style w:type="paragraph" w:customStyle="1" w:styleId="TableParagraph">
    <w:name w:val="Table Paragraph"/>
    <w:basedOn w:val="Normal"/>
    <w:uiPriority w:val="1"/>
    <w:qFormat/>
    <w:rsid w:val="00CF0295"/>
    <w:pPr>
      <w:autoSpaceDE w:val="0"/>
      <w:autoSpaceDN w:val="0"/>
      <w:adjustRightInd w:val="0"/>
      <w:spacing w:after="0" w:line="240" w:lineRule="auto"/>
    </w:pPr>
    <w:rPr>
      <w:rFonts w:ascii="Times New Roman" w:hAnsi="Times New Roman" w:cs="Times New Roman"/>
      <w:color w:val="auto"/>
      <w:sz w:val="24"/>
      <w:szCs w:val="24"/>
    </w:rPr>
  </w:style>
  <w:style w:type="paragraph" w:customStyle="1" w:styleId="Tableheading">
    <w:name w:val="Table heading"/>
    <w:basedOn w:val="Normal"/>
    <w:uiPriority w:val="99"/>
    <w:qFormat/>
    <w:rsid w:val="00C5684F"/>
    <w:pPr>
      <w:kinsoku w:val="0"/>
      <w:overflowPunct w:val="0"/>
      <w:autoSpaceDE w:val="0"/>
      <w:autoSpaceDN w:val="0"/>
      <w:adjustRightInd w:val="0"/>
      <w:spacing w:before="20" w:after="20" w:line="240" w:lineRule="auto"/>
    </w:pPr>
    <w:rPr>
      <w:rFonts w:cstheme="minorHAnsi"/>
      <w:color w:val="706F6F"/>
      <w:spacing w:val="-3"/>
      <w:w w:val="105"/>
      <w:sz w:val="14"/>
      <w:szCs w:val="14"/>
    </w:rPr>
  </w:style>
  <w:style w:type="paragraph" w:customStyle="1" w:styleId="Tabletext">
    <w:name w:val="Table text"/>
    <w:basedOn w:val="Normal"/>
    <w:qFormat/>
    <w:rsid w:val="00D73661"/>
    <w:pPr>
      <w:kinsoku w:val="0"/>
      <w:overflowPunct w:val="0"/>
      <w:autoSpaceDE w:val="0"/>
      <w:autoSpaceDN w:val="0"/>
      <w:adjustRightInd w:val="0"/>
      <w:spacing w:before="20" w:after="20"/>
    </w:pPr>
    <w:rPr>
      <w:rFonts w:cstheme="minorHAnsi"/>
      <w:color w:val="706F6F"/>
      <w:spacing w:val="-2"/>
      <w:w w:val="105"/>
      <w:szCs w:val="17"/>
    </w:rPr>
  </w:style>
  <w:style w:type="paragraph" w:styleId="ListParagraph">
    <w:name w:val="List Paragraph"/>
    <w:basedOn w:val="Normal"/>
    <w:uiPriority w:val="99"/>
    <w:qFormat/>
    <w:rsid w:val="00C5684F"/>
    <w:pPr>
      <w:ind w:left="720"/>
      <w:contextualSpacing/>
    </w:pPr>
  </w:style>
  <w:style w:type="paragraph" w:customStyle="1" w:styleId="Bullet1">
    <w:name w:val="Bullet 1"/>
    <w:basedOn w:val="ListParagraph"/>
    <w:qFormat/>
    <w:rsid w:val="000920B9"/>
    <w:pPr>
      <w:numPr>
        <w:numId w:val="3"/>
      </w:numPr>
      <w:ind w:left="357" w:hanging="357"/>
    </w:pPr>
  </w:style>
  <w:style w:type="table" w:styleId="TableGrid">
    <w:name w:val="Table Grid"/>
    <w:basedOn w:val="TableNormal"/>
    <w:uiPriority w:val="99"/>
    <w:rsid w:val="007B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Header">
    <w:name w:val="Page Header"/>
    <w:basedOn w:val="Normal"/>
    <w:uiPriority w:val="99"/>
    <w:rsid w:val="00B22F3C"/>
    <w:pPr>
      <w:overflowPunct w:val="0"/>
      <w:autoSpaceDE w:val="0"/>
      <w:autoSpaceDN w:val="0"/>
      <w:adjustRightInd w:val="0"/>
      <w:spacing w:before="240" w:after="0" w:line="400" w:lineRule="atLeast"/>
      <w:textAlignment w:val="baseline"/>
    </w:pPr>
    <w:rPr>
      <w:rFonts w:ascii="Arial" w:eastAsia="Times New Roman" w:hAnsi="Arial" w:cs="Arial"/>
      <w:b/>
      <w:bCs/>
      <w:color w:val="auto"/>
      <w:sz w:val="32"/>
      <w:szCs w:val="32"/>
      <w:u w:val="single" w:color="76923C"/>
    </w:rPr>
  </w:style>
  <w:style w:type="paragraph" w:customStyle="1" w:styleId="TableBoldItalic">
    <w:name w:val="Table Bold Italic"/>
    <w:basedOn w:val="Normal"/>
    <w:uiPriority w:val="99"/>
    <w:rsid w:val="00B22F3C"/>
    <w:pPr>
      <w:spacing w:before="60" w:after="60" w:line="240" w:lineRule="auto"/>
    </w:pPr>
    <w:rPr>
      <w:rFonts w:ascii="Arial" w:eastAsia="Times New Roman" w:hAnsi="Arial" w:cs="Arial"/>
      <w:b/>
      <w:bCs/>
      <w:i/>
      <w:iCs/>
      <w:color w:val="auto"/>
      <w:sz w:val="18"/>
      <w:szCs w:val="18"/>
    </w:rPr>
  </w:style>
  <w:style w:type="paragraph" w:customStyle="1" w:styleId="TableText0">
    <w:name w:val="Table Text"/>
    <w:basedOn w:val="TableBoldItalic"/>
    <w:uiPriority w:val="99"/>
    <w:rsid w:val="00B22F3C"/>
    <w:pPr>
      <w:spacing w:before="20" w:after="20"/>
      <w:ind w:right="57"/>
    </w:pPr>
    <w:rPr>
      <w:rFonts w:ascii="Times New Roman" w:hAnsi="Times New Roman" w:cs="Times New Roman"/>
      <w:b w:val="0"/>
      <w:bCs w:val="0"/>
      <w:i w:val="0"/>
      <w:iCs w:val="0"/>
      <w:sz w:val="20"/>
      <w:szCs w:val="20"/>
    </w:rPr>
  </w:style>
  <w:style w:type="paragraph" w:customStyle="1" w:styleId="TableFigures">
    <w:name w:val="Table Figures"/>
    <w:basedOn w:val="Normal"/>
    <w:uiPriority w:val="99"/>
    <w:rsid w:val="00B22F3C"/>
    <w:pPr>
      <w:tabs>
        <w:tab w:val="decimal" w:pos="1077"/>
      </w:tabs>
      <w:overflowPunct w:val="0"/>
      <w:autoSpaceDE w:val="0"/>
      <w:autoSpaceDN w:val="0"/>
      <w:adjustRightInd w:val="0"/>
      <w:spacing w:before="20" w:after="20" w:line="240" w:lineRule="auto"/>
      <w:textAlignment w:val="baseline"/>
    </w:pPr>
    <w:rPr>
      <w:rFonts w:ascii="Times New Roman" w:eastAsia="Times New Roman" w:hAnsi="Times New Roman" w:cs="Times New Roman"/>
      <w:color w:val="auto"/>
      <w:sz w:val="20"/>
      <w:szCs w:val="20"/>
    </w:rPr>
  </w:style>
  <w:style w:type="paragraph" w:customStyle="1" w:styleId="Green">
    <w:name w:val="Green"/>
    <w:basedOn w:val="TableText0"/>
    <w:uiPriority w:val="99"/>
    <w:rsid w:val="00B22F3C"/>
    <w:pPr>
      <w:pBdr>
        <w:bottom w:val="single" w:sz="8" w:space="1" w:color="76923C"/>
      </w:pBdr>
      <w:ind w:right="0"/>
    </w:pPr>
  </w:style>
  <w:style w:type="paragraph" w:customStyle="1" w:styleId="SingleSpaceAC">
    <w:name w:val="Single Space (AC)"/>
    <w:basedOn w:val="Normal"/>
    <w:uiPriority w:val="99"/>
    <w:rsid w:val="00B22F3C"/>
    <w:pP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style>
  <w:style w:type="paragraph" w:customStyle="1" w:styleId="NotesHeadingAC">
    <w:name w:val="Notes Heading (AC)"/>
    <w:basedOn w:val="Heading1"/>
    <w:next w:val="Normal"/>
    <w:uiPriority w:val="99"/>
    <w:rsid w:val="00725EE9"/>
    <w:pPr>
      <w:numPr>
        <w:numId w:val="13"/>
      </w:numPr>
      <w:overflowPunct w:val="0"/>
      <w:autoSpaceDE w:val="0"/>
      <w:autoSpaceDN w:val="0"/>
      <w:adjustRightInd w:val="0"/>
      <w:spacing w:before="240" w:line="240" w:lineRule="auto"/>
      <w:textAlignment w:val="baseline"/>
    </w:pPr>
    <w:rPr>
      <w:rFonts w:ascii="Arial" w:eastAsia="Times New Roman" w:hAnsi="Arial" w:cs="Arial"/>
      <w:b/>
      <w:bCs/>
      <w:color w:val="auto"/>
      <w:sz w:val="22"/>
      <w:szCs w:val="22"/>
    </w:rPr>
  </w:style>
  <w:style w:type="paragraph" w:customStyle="1" w:styleId="NotesHeadingcontinuedAC">
    <w:name w:val="Notes Heading (continued) (AC)"/>
    <w:basedOn w:val="NotesHeadingAC"/>
    <w:uiPriority w:val="99"/>
    <w:rsid w:val="00725EE9"/>
    <w:pPr>
      <w:numPr>
        <w:ilvl w:val="1"/>
      </w:numPr>
    </w:pPr>
  </w:style>
  <w:style w:type="paragraph" w:customStyle="1" w:styleId="NotesSubheadingAC">
    <w:name w:val="Notes Subheading (AC)"/>
    <w:basedOn w:val="NotesHeadingAC"/>
    <w:uiPriority w:val="99"/>
    <w:rsid w:val="00725EE9"/>
    <w:pPr>
      <w:numPr>
        <w:ilvl w:val="2"/>
      </w:numPr>
      <w:spacing w:before="80" w:after="100"/>
    </w:pPr>
    <w:rPr>
      <w:rFonts w:ascii="Times New Roman" w:hAnsi="Times New Roman" w:cs="Times New Roman"/>
      <w:b w:val="0"/>
      <w:bCs w:val="0"/>
      <w:sz w:val="20"/>
      <w:szCs w:val="20"/>
    </w:rPr>
  </w:style>
  <w:style w:type="paragraph" w:customStyle="1" w:styleId="Normalbullets">
    <w:name w:val="Normal bullets"/>
    <w:basedOn w:val="Normal"/>
    <w:uiPriority w:val="99"/>
    <w:rsid w:val="00725EE9"/>
    <w:pPr>
      <w:numPr>
        <w:numId w:val="14"/>
      </w:numPr>
      <w:spacing w:before="80" w:after="100" w:line="240" w:lineRule="auto"/>
    </w:pPr>
    <w:rPr>
      <w:rFonts w:ascii="Times New Roman" w:eastAsia="Times New Roman" w:hAnsi="Times New Roman" w:cs="Times New Roman"/>
      <w:color w:val="auto"/>
      <w:sz w:val="20"/>
      <w:szCs w:val="20"/>
    </w:rPr>
  </w:style>
  <w:style w:type="character" w:styleId="Hyperlink">
    <w:name w:val="Hyperlink"/>
    <w:basedOn w:val="DefaultParagraphFont"/>
    <w:uiPriority w:val="99"/>
    <w:unhideWhenUsed/>
    <w:rsid w:val="00725EE9"/>
    <w:rPr>
      <w:color w:val="0563C1" w:themeColor="hyperlink"/>
      <w:u w:val="single"/>
    </w:rPr>
  </w:style>
  <w:style w:type="paragraph" w:styleId="NormalWeb">
    <w:name w:val="Normal (Web)"/>
    <w:basedOn w:val="Normal"/>
    <w:uiPriority w:val="99"/>
    <w:rsid w:val="00004F6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unhideWhenUsed/>
    <w:rsid w:val="0052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EBB"/>
    <w:rPr>
      <w:rFonts w:ascii="Tahoma" w:hAnsi="Tahoma" w:cs="Tahoma"/>
      <w:color w:val="6F6F6E"/>
      <w:sz w:val="16"/>
      <w:szCs w:val="16"/>
    </w:rPr>
  </w:style>
  <w:style w:type="paragraph" w:customStyle="1" w:styleId="Tabletextindented">
    <w:name w:val="Table text indented"/>
    <w:basedOn w:val="Tabletext"/>
    <w:qFormat/>
    <w:rsid w:val="00D73661"/>
    <w:pPr>
      <w:ind w:left="142"/>
    </w:pPr>
    <w:rPr>
      <w:lang w:val="en-US" w:eastAsia="nl-NL"/>
    </w:rPr>
  </w:style>
  <w:style w:type="character" w:styleId="CommentReference">
    <w:name w:val="annotation reference"/>
    <w:basedOn w:val="DefaultParagraphFont"/>
    <w:uiPriority w:val="99"/>
    <w:semiHidden/>
    <w:unhideWhenUsed/>
    <w:rsid w:val="006608C2"/>
    <w:rPr>
      <w:sz w:val="16"/>
      <w:szCs w:val="16"/>
    </w:rPr>
  </w:style>
  <w:style w:type="paragraph" w:styleId="CommentText">
    <w:name w:val="annotation text"/>
    <w:basedOn w:val="Normal"/>
    <w:link w:val="CommentTextChar"/>
    <w:uiPriority w:val="99"/>
    <w:semiHidden/>
    <w:unhideWhenUsed/>
    <w:rsid w:val="006608C2"/>
    <w:pPr>
      <w:spacing w:line="240" w:lineRule="auto"/>
    </w:pPr>
    <w:rPr>
      <w:sz w:val="20"/>
      <w:szCs w:val="20"/>
    </w:rPr>
  </w:style>
  <w:style w:type="character" w:customStyle="1" w:styleId="CommentTextChar">
    <w:name w:val="Comment Text Char"/>
    <w:basedOn w:val="DefaultParagraphFont"/>
    <w:link w:val="CommentText"/>
    <w:uiPriority w:val="99"/>
    <w:semiHidden/>
    <w:rsid w:val="006608C2"/>
    <w:rPr>
      <w:color w:val="6F6F6E"/>
      <w:sz w:val="20"/>
      <w:szCs w:val="20"/>
    </w:rPr>
  </w:style>
  <w:style w:type="paragraph" w:styleId="CommentSubject">
    <w:name w:val="annotation subject"/>
    <w:basedOn w:val="CommentText"/>
    <w:next w:val="CommentText"/>
    <w:link w:val="CommentSubjectChar"/>
    <w:uiPriority w:val="99"/>
    <w:semiHidden/>
    <w:unhideWhenUsed/>
    <w:rsid w:val="006608C2"/>
    <w:rPr>
      <w:b/>
      <w:bCs/>
    </w:rPr>
  </w:style>
  <w:style w:type="character" w:customStyle="1" w:styleId="CommentSubjectChar">
    <w:name w:val="Comment Subject Char"/>
    <w:basedOn w:val="CommentTextChar"/>
    <w:link w:val="CommentSubject"/>
    <w:uiPriority w:val="99"/>
    <w:semiHidden/>
    <w:rsid w:val="006608C2"/>
    <w:rPr>
      <w:b/>
      <w:bCs/>
      <w:color w:val="6F6F6E"/>
      <w:sz w:val="20"/>
      <w:szCs w:val="20"/>
    </w:rPr>
  </w:style>
  <w:style w:type="paragraph" w:styleId="PlainText">
    <w:name w:val="Plain Text"/>
    <w:basedOn w:val="Normal"/>
    <w:link w:val="PlainTextChar"/>
    <w:uiPriority w:val="99"/>
    <w:unhideWhenUsed/>
    <w:rsid w:val="00A07954"/>
    <w:pPr>
      <w:spacing w:after="0" w:line="240" w:lineRule="auto"/>
    </w:pPr>
    <w:rPr>
      <w:rFonts w:ascii="Calibri" w:hAnsi="Calibri" w:cs="Calibri"/>
      <w:color w:val="auto"/>
      <w:sz w:val="22"/>
    </w:rPr>
  </w:style>
  <w:style w:type="character" w:customStyle="1" w:styleId="PlainTextChar">
    <w:name w:val="Plain Text Char"/>
    <w:basedOn w:val="DefaultParagraphFont"/>
    <w:link w:val="PlainText"/>
    <w:uiPriority w:val="99"/>
    <w:rsid w:val="00A07954"/>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C0"/>
    <w:pPr>
      <w:spacing w:after="200" w:line="240" w:lineRule="atLeast"/>
    </w:pPr>
    <w:rPr>
      <w:color w:val="6F6F6E"/>
      <w:sz w:val="17"/>
    </w:rPr>
  </w:style>
  <w:style w:type="paragraph" w:styleId="Heading1">
    <w:name w:val="heading 1"/>
    <w:basedOn w:val="Normal"/>
    <w:next w:val="Normal"/>
    <w:link w:val="Heading1Char"/>
    <w:uiPriority w:val="9"/>
    <w:qFormat/>
    <w:rsid w:val="00364452"/>
    <w:pPr>
      <w:keepNext/>
      <w:keepLines/>
      <w:spacing w:after="480" w:line="600" w:lineRule="exact"/>
      <w:outlineLvl w:val="0"/>
    </w:pPr>
    <w:rPr>
      <w:rFonts w:asciiTheme="majorHAnsi" w:eastAsiaTheme="majorEastAsia" w:hAnsiTheme="majorHAnsi" w:cstheme="majorBidi"/>
      <w:sz w:val="56"/>
      <w:szCs w:val="32"/>
    </w:rPr>
  </w:style>
  <w:style w:type="paragraph" w:styleId="Heading2">
    <w:name w:val="heading 2"/>
    <w:basedOn w:val="Normal"/>
    <w:next w:val="Normal"/>
    <w:link w:val="Heading2Char"/>
    <w:uiPriority w:val="9"/>
    <w:unhideWhenUsed/>
    <w:qFormat/>
    <w:rsid w:val="006B1108"/>
    <w:pPr>
      <w:keepNext/>
      <w:keepLines/>
      <w:spacing w:after="600" w:line="600" w:lineRule="exact"/>
      <w:outlineLvl w:val="1"/>
    </w:pPr>
    <w:rPr>
      <w:rFonts w:asciiTheme="majorHAnsi" w:eastAsiaTheme="majorEastAsia" w:hAnsiTheme="majorHAnsi" w:cstheme="majorBidi"/>
      <w:i/>
      <w:color w:val="93B6BB"/>
      <w:sz w:val="56"/>
      <w:szCs w:val="26"/>
    </w:rPr>
  </w:style>
  <w:style w:type="paragraph" w:styleId="Heading3">
    <w:name w:val="heading 3"/>
    <w:basedOn w:val="Normal"/>
    <w:next w:val="Normal"/>
    <w:link w:val="Heading3Char"/>
    <w:uiPriority w:val="9"/>
    <w:unhideWhenUsed/>
    <w:qFormat/>
    <w:rsid w:val="00AB503C"/>
    <w:pPr>
      <w:keepNext/>
      <w:keepLines/>
      <w:spacing w:before="40" w:after="0"/>
      <w:outlineLvl w:val="2"/>
    </w:pPr>
    <w:rPr>
      <w:rFonts w:asciiTheme="majorHAnsi" w:eastAsiaTheme="majorEastAsia" w:hAnsiTheme="majorHAnsi" w:cstheme="majorBidi"/>
      <w:b/>
      <w:caps/>
      <w:color w:val="93B6BB"/>
      <w:szCs w:val="24"/>
    </w:rPr>
  </w:style>
  <w:style w:type="paragraph" w:styleId="Heading4">
    <w:name w:val="heading 4"/>
    <w:basedOn w:val="Normal"/>
    <w:next w:val="Normal"/>
    <w:link w:val="Heading4Char"/>
    <w:uiPriority w:val="9"/>
    <w:unhideWhenUsed/>
    <w:qFormat/>
    <w:rsid w:val="00AB503C"/>
    <w:pPr>
      <w:keepNext/>
      <w:keepLines/>
      <w:spacing w:before="40" w:after="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F48"/>
    <w:pPr>
      <w:pBdr>
        <w:bottom w:val="single" w:sz="4" w:space="4" w:color="93B6BB"/>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675F48"/>
    <w:rPr>
      <w:color w:val="6F6F6E"/>
      <w:sz w:val="16"/>
    </w:rPr>
  </w:style>
  <w:style w:type="paragraph" w:styleId="Footer">
    <w:name w:val="footer"/>
    <w:basedOn w:val="Normal"/>
    <w:link w:val="FooterChar"/>
    <w:uiPriority w:val="99"/>
    <w:unhideWhenUsed/>
    <w:rsid w:val="00675F48"/>
    <w:pPr>
      <w:pBdr>
        <w:top w:val="single" w:sz="4" w:space="4" w:color="93B6BB"/>
      </w:pBdr>
      <w:tabs>
        <w:tab w:val="center" w:pos="4513"/>
        <w:tab w:val="right" w:pos="9026"/>
      </w:tabs>
      <w:spacing w:after="0" w:line="240" w:lineRule="auto"/>
    </w:pPr>
  </w:style>
  <w:style w:type="character" w:customStyle="1" w:styleId="FooterChar">
    <w:name w:val="Footer Char"/>
    <w:basedOn w:val="DefaultParagraphFont"/>
    <w:link w:val="Footer"/>
    <w:uiPriority w:val="99"/>
    <w:rsid w:val="00675F48"/>
    <w:rPr>
      <w:color w:val="6F6F6E"/>
      <w:sz w:val="17"/>
    </w:rPr>
  </w:style>
  <w:style w:type="character" w:customStyle="1" w:styleId="Heading1Char">
    <w:name w:val="Heading 1 Char"/>
    <w:basedOn w:val="DefaultParagraphFont"/>
    <w:link w:val="Heading1"/>
    <w:uiPriority w:val="9"/>
    <w:rsid w:val="00364452"/>
    <w:rPr>
      <w:rFonts w:asciiTheme="majorHAnsi" w:eastAsiaTheme="majorEastAsia" w:hAnsiTheme="majorHAnsi" w:cstheme="majorBidi"/>
      <w:color w:val="6F6F6E"/>
      <w:sz w:val="56"/>
      <w:szCs w:val="32"/>
    </w:rPr>
  </w:style>
  <w:style w:type="character" w:customStyle="1" w:styleId="Heading2Char">
    <w:name w:val="Heading 2 Char"/>
    <w:basedOn w:val="DefaultParagraphFont"/>
    <w:link w:val="Heading2"/>
    <w:uiPriority w:val="9"/>
    <w:rsid w:val="006B1108"/>
    <w:rPr>
      <w:rFonts w:asciiTheme="majorHAnsi" w:eastAsiaTheme="majorEastAsia" w:hAnsiTheme="majorHAnsi" w:cstheme="majorBidi"/>
      <w:i/>
      <w:color w:val="93B6BB"/>
      <w:sz w:val="56"/>
      <w:szCs w:val="26"/>
    </w:rPr>
  </w:style>
  <w:style w:type="paragraph" w:customStyle="1" w:styleId="Intro">
    <w:name w:val="Intro"/>
    <w:basedOn w:val="Normal"/>
    <w:qFormat/>
    <w:rsid w:val="00675F48"/>
    <w:pPr>
      <w:spacing w:before="200" w:after="400" w:line="400" w:lineRule="exact"/>
    </w:pPr>
    <w:rPr>
      <w:sz w:val="36"/>
    </w:rPr>
  </w:style>
  <w:style w:type="character" w:customStyle="1" w:styleId="Heading3Char">
    <w:name w:val="Heading 3 Char"/>
    <w:basedOn w:val="DefaultParagraphFont"/>
    <w:link w:val="Heading3"/>
    <w:uiPriority w:val="9"/>
    <w:rsid w:val="00AB503C"/>
    <w:rPr>
      <w:rFonts w:asciiTheme="majorHAnsi" w:eastAsiaTheme="majorEastAsia" w:hAnsiTheme="majorHAnsi" w:cstheme="majorBidi"/>
      <w:b/>
      <w:caps/>
      <w:color w:val="93B6BB"/>
      <w:sz w:val="17"/>
      <w:szCs w:val="24"/>
    </w:rPr>
  </w:style>
  <w:style w:type="paragraph" w:customStyle="1" w:styleId="Footnote">
    <w:name w:val="Footnote"/>
    <w:basedOn w:val="Normal"/>
    <w:qFormat/>
    <w:rsid w:val="00D73661"/>
    <w:pPr>
      <w:spacing w:before="60" w:after="60" w:line="160" w:lineRule="exact"/>
      <w:ind w:left="284" w:hanging="284"/>
    </w:pPr>
    <w:rPr>
      <w:sz w:val="12"/>
    </w:rPr>
  </w:style>
  <w:style w:type="character" w:customStyle="1" w:styleId="Heading4Char">
    <w:name w:val="Heading 4 Char"/>
    <w:basedOn w:val="DefaultParagraphFont"/>
    <w:link w:val="Heading4"/>
    <w:uiPriority w:val="9"/>
    <w:rsid w:val="00AB503C"/>
    <w:rPr>
      <w:rFonts w:asciiTheme="majorHAnsi" w:eastAsiaTheme="majorEastAsia" w:hAnsiTheme="majorHAnsi" w:cstheme="majorBidi"/>
      <w:b/>
      <w:iCs/>
      <w:color w:val="6F6F6E"/>
      <w:sz w:val="17"/>
    </w:rPr>
  </w:style>
  <w:style w:type="paragraph" w:styleId="BodyText">
    <w:name w:val="Body Text"/>
    <w:basedOn w:val="Normal"/>
    <w:link w:val="BodyTextChar"/>
    <w:uiPriority w:val="1"/>
    <w:qFormat/>
    <w:rsid w:val="00CF0295"/>
    <w:pPr>
      <w:autoSpaceDE w:val="0"/>
      <w:autoSpaceDN w:val="0"/>
      <w:adjustRightInd w:val="0"/>
      <w:spacing w:after="0" w:line="240" w:lineRule="auto"/>
    </w:pPr>
    <w:rPr>
      <w:rFonts w:ascii="Calibri" w:hAnsi="Calibri" w:cs="Calibri"/>
      <w:color w:val="auto"/>
      <w:sz w:val="14"/>
      <w:szCs w:val="14"/>
    </w:rPr>
  </w:style>
  <w:style w:type="character" w:customStyle="1" w:styleId="BodyTextChar">
    <w:name w:val="Body Text Char"/>
    <w:basedOn w:val="DefaultParagraphFont"/>
    <w:link w:val="BodyText"/>
    <w:uiPriority w:val="1"/>
    <w:rsid w:val="00CF0295"/>
    <w:rPr>
      <w:rFonts w:ascii="Calibri" w:hAnsi="Calibri" w:cs="Calibri"/>
      <w:sz w:val="14"/>
      <w:szCs w:val="14"/>
    </w:rPr>
  </w:style>
  <w:style w:type="paragraph" w:customStyle="1" w:styleId="TableParagraph">
    <w:name w:val="Table Paragraph"/>
    <w:basedOn w:val="Normal"/>
    <w:uiPriority w:val="1"/>
    <w:qFormat/>
    <w:rsid w:val="00CF0295"/>
    <w:pPr>
      <w:autoSpaceDE w:val="0"/>
      <w:autoSpaceDN w:val="0"/>
      <w:adjustRightInd w:val="0"/>
      <w:spacing w:after="0" w:line="240" w:lineRule="auto"/>
    </w:pPr>
    <w:rPr>
      <w:rFonts w:ascii="Times New Roman" w:hAnsi="Times New Roman" w:cs="Times New Roman"/>
      <w:color w:val="auto"/>
      <w:sz w:val="24"/>
      <w:szCs w:val="24"/>
    </w:rPr>
  </w:style>
  <w:style w:type="paragraph" w:customStyle="1" w:styleId="Tableheading">
    <w:name w:val="Table heading"/>
    <w:basedOn w:val="Normal"/>
    <w:uiPriority w:val="99"/>
    <w:qFormat/>
    <w:rsid w:val="00C5684F"/>
    <w:pPr>
      <w:kinsoku w:val="0"/>
      <w:overflowPunct w:val="0"/>
      <w:autoSpaceDE w:val="0"/>
      <w:autoSpaceDN w:val="0"/>
      <w:adjustRightInd w:val="0"/>
      <w:spacing w:before="20" w:after="20" w:line="240" w:lineRule="auto"/>
    </w:pPr>
    <w:rPr>
      <w:rFonts w:cstheme="minorHAnsi"/>
      <w:color w:val="706F6F"/>
      <w:spacing w:val="-3"/>
      <w:w w:val="105"/>
      <w:sz w:val="14"/>
      <w:szCs w:val="14"/>
    </w:rPr>
  </w:style>
  <w:style w:type="paragraph" w:customStyle="1" w:styleId="Tabletext">
    <w:name w:val="Table text"/>
    <w:basedOn w:val="Normal"/>
    <w:qFormat/>
    <w:rsid w:val="00D73661"/>
    <w:pPr>
      <w:kinsoku w:val="0"/>
      <w:overflowPunct w:val="0"/>
      <w:autoSpaceDE w:val="0"/>
      <w:autoSpaceDN w:val="0"/>
      <w:adjustRightInd w:val="0"/>
      <w:spacing w:before="20" w:after="20"/>
    </w:pPr>
    <w:rPr>
      <w:rFonts w:cstheme="minorHAnsi"/>
      <w:color w:val="706F6F"/>
      <w:spacing w:val="-2"/>
      <w:w w:val="105"/>
      <w:szCs w:val="17"/>
    </w:rPr>
  </w:style>
  <w:style w:type="paragraph" w:styleId="ListParagraph">
    <w:name w:val="List Paragraph"/>
    <w:basedOn w:val="Normal"/>
    <w:uiPriority w:val="99"/>
    <w:qFormat/>
    <w:rsid w:val="00C5684F"/>
    <w:pPr>
      <w:ind w:left="720"/>
      <w:contextualSpacing/>
    </w:pPr>
  </w:style>
  <w:style w:type="paragraph" w:customStyle="1" w:styleId="Bullet1">
    <w:name w:val="Bullet 1"/>
    <w:basedOn w:val="ListParagraph"/>
    <w:qFormat/>
    <w:rsid w:val="000920B9"/>
    <w:pPr>
      <w:numPr>
        <w:numId w:val="3"/>
      </w:numPr>
      <w:ind w:left="357" w:hanging="357"/>
    </w:pPr>
  </w:style>
  <w:style w:type="table" w:styleId="TableGrid">
    <w:name w:val="Table Grid"/>
    <w:basedOn w:val="TableNormal"/>
    <w:uiPriority w:val="99"/>
    <w:rsid w:val="007B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Header">
    <w:name w:val="Page Header"/>
    <w:basedOn w:val="Normal"/>
    <w:uiPriority w:val="99"/>
    <w:rsid w:val="00B22F3C"/>
    <w:pPr>
      <w:overflowPunct w:val="0"/>
      <w:autoSpaceDE w:val="0"/>
      <w:autoSpaceDN w:val="0"/>
      <w:adjustRightInd w:val="0"/>
      <w:spacing w:before="240" w:after="0" w:line="400" w:lineRule="atLeast"/>
      <w:textAlignment w:val="baseline"/>
    </w:pPr>
    <w:rPr>
      <w:rFonts w:ascii="Arial" w:eastAsia="Times New Roman" w:hAnsi="Arial" w:cs="Arial"/>
      <w:b/>
      <w:bCs/>
      <w:color w:val="auto"/>
      <w:sz w:val="32"/>
      <w:szCs w:val="32"/>
      <w:u w:val="single" w:color="76923C"/>
    </w:rPr>
  </w:style>
  <w:style w:type="paragraph" w:customStyle="1" w:styleId="TableBoldItalic">
    <w:name w:val="Table Bold Italic"/>
    <w:basedOn w:val="Normal"/>
    <w:uiPriority w:val="99"/>
    <w:rsid w:val="00B22F3C"/>
    <w:pPr>
      <w:spacing w:before="60" w:after="60" w:line="240" w:lineRule="auto"/>
    </w:pPr>
    <w:rPr>
      <w:rFonts w:ascii="Arial" w:eastAsia="Times New Roman" w:hAnsi="Arial" w:cs="Arial"/>
      <w:b/>
      <w:bCs/>
      <w:i/>
      <w:iCs/>
      <w:color w:val="auto"/>
      <w:sz w:val="18"/>
      <w:szCs w:val="18"/>
    </w:rPr>
  </w:style>
  <w:style w:type="paragraph" w:customStyle="1" w:styleId="TableText0">
    <w:name w:val="Table Text"/>
    <w:basedOn w:val="TableBoldItalic"/>
    <w:uiPriority w:val="99"/>
    <w:rsid w:val="00B22F3C"/>
    <w:pPr>
      <w:spacing w:before="20" w:after="20"/>
      <w:ind w:right="57"/>
    </w:pPr>
    <w:rPr>
      <w:rFonts w:ascii="Times New Roman" w:hAnsi="Times New Roman" w:cs="Times New Roman"/>
      <w:b w:val="0"/>
      <w:bCs w:val="0"/>
      <w:i w:val="0"/>
      <w:iCs w:val="0"/>
      <w:sz w:val="20"/>
      <w:szCs w:val="20"/>
    </w:rPr>
  </w:style>
  <w:style w:type="paragraph" w:customStyle="1" w:styleId="TableFigures">
    <w:name w:val="Table Figures"/>
    <w:basedOn w:val="Normal"/>
    <w:uiPriority w:val="99"/>
    <w:rsid w:val="00B22F3C"/>
    <w:pPr>
      <w:tabs>
        <w:tab w:val="decimal" w:pos="1077"/>
      </w:tabs>
      <w:overflowPunct w:val="0"/>
      <w:autoSpaceDE w:val="0"/>
      <w:autoSpaceDN w:val="0"/>
      <w:adjustRightInd w:val="0"/>
      <w:spacing w:before="20" w:after="20" w:line="240" w:lineRule="auto"/>
      <w:textAlignment w:val="baseline"/>
    </w:pPr>
    <w:rPr>
      <w:rFonts w:ascii="Times New Roman" w:eastAsia="Times New Roman" w:hAnsi="Times New Roman" w:cs="Times New Roman"/>
      <w:color w:val="auto"/>
      <w:sz w:val="20"/>
      <w:szCs w:val="20"/>
    </w:rPr>
  </w:style>
  <w:style w:type="paragraph" w:customStyle="1" w:styleId="Green">
    <w:name w:val="Green"/>
    <w:basedOn w:val="TableText0"/>
    <w:uiPriority w:val="99"/>
    <w:rsid w:val="00B22F3C"/>
    <w:pPr>
      <w:pBdr>
        <w:bottom w:val="single" w:sz="8" w:space="1" w:color="76923C"/>
      </w:pBdr>
      <w:ind w:right="0"/>
    </w:pPr>
  </w:style>
  <w:style w:type="paragraph" w:customStyle="1" w:styleId="SingleSpaceAC">
    <w:name w:val="Single Space (AC)"/>
    <w:basedOn w:val="Normal"/>
    <w:uiPriority w:val="99"/>
    <w:rsid w:val="00B22F3C"/>
    <w:pP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style>
  <w:style w:type="paragraph" w:customStyle="1" w:styleId="NotesHeadingAC">
    <w:name w:val="Notes Heading (AC)"/>
    <w:basedOn w:val="Heading1"/>
    <w:next w:val="Normal"/>
    <w:uiPriority w:val="99"/>
    <w:rsid w:val="00725EE9"/>
    <w:pPr>
      <w:numPr>
        <w:numId w:val="13"/>
      </w:numPr>
      <w:overflowPunct w:val="0"/>
      <w:autoSpaceDE w:val="0"/>
      <w:autoSpaceDN w:val="0"/>
      <w:adjustRightInd w:val="0"/>
      <w:spacing w:before="240" w:line="240" w:lineRule="auto"/>
      <w:textAlignment w:val="baseline"/>
    </w:pPr>
    <w:rPr>
      <w:rFonts w:ascii="Arial" w:eastAsia="Times New Roman" w:hAnsi="Arial" w:cs="Arial"/>
      <w:b/>
      <w:bCs/>
      <w:color w:val="auto"/>
      <w:sz w:val="22"/>
      <w:szCs w:val="22"/>
    </w:rPr>
  </w:style>
  <w:style w:type="paragraph" w:customStyle="1" w:styleId="NotesHeadingcontinuedAC">
    <w:name w:val="Notes Heading (continued) (AC)"/>
    <w:basedOn w:val="NotesHeadingAC"/>
    <w:uiPriority w:val="99"/>
    <w:rsid w:val="00725EE9"/>
    <w:pPr>
      <w:numPr>
        <w:ilvl w:val="1"/>
      </w:numPr>
    </w:pPr>
  </w:style>
  <w:style w:type="paragraph" w:customStyle="1" w:styleId="NotesSubheadingAC">
    <w:name w:val="Notes Subheading (AC)"/>
    <w:basedOn w:val="NotesHeadingAC"/>
    <w:uiPriority w:val="99"/>
    <w:rsid w:val="00725EE9"/>
    <w:pPr>
      <w:numPr>
        <w:ilvl w:val="2"/>
      </w:numPr>
      <w:spacing w:before="80" w:after="100"/>
    </w:pPr>
    <w:rPr>
      <w:rFonts w:ascii="Times New Roman" w:hAnsi="Times New Roman" w:cs="Times New Roman"/>
      <w:b w:val="0"/>
      <w:bCs w:val="0"/>
      <w:sz w:val="20"/>
      <w:szCs w:val="20"/>
    </w:rPr>
  </w:style>
  <w:style w:type="paragraph" w:customStyle="1" w:styleId="Normalbullets">
    <w:name w:val="Normal bullets"/>
    <w:basedOn w:val="Normal"/>
    <w:uiPriority w:val="99"/>
    <w:rsid w:val="00725EE9"/>
    <w:pPr>
      <w:numPr>
        <w:numId w:val="14"/>
      </w:numPr>
      <w:spacing w:before="80" w:after="100" w:line="240" w:lineRule="auto"/>
    </w:pPr>
    <w:rPr>
      <w:rFonts w:ascii="Times New Roman" w:eastAsia="Times New Roman" w:hAnsi="Times New Roman" w:cs="Times New Roman"/>
      <w:color w:val="auto"/>
      <w:sz w:val="20"/>
      <w:szCs w:val="20"/>
    </w:rPr>
  </w:style>
  <w:style w:type="character" w:styleId="Hyperlink">
    <w:name w:val="Hyperlink"/>
    <w:basedOn w:val="DefaultParagraphFont"/>
    <w:uiPriority w:val="99"/>
    <w:unhideWhenUsed/>
    <w:rsid w:val="00725EE9"/>
    <w:rPr>
      <w:color w:val="0563C1" w:themeColor="hyperlink"/>
      <w:u w:val="single"/>
    </w:rPr>
  </w:style>
  <w:style w:type="paragraph" w:styleId="NormalWeb">
    <w:name w:val="Normal (Web)"/>
    <w:basedOn w:val="Normal"/>
    <w:uiPriority w:val="99"/>
    <w:rsid w:val="00004F6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unhideWhenUsed/>
    <w:rsid w:val="0052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EBB"/>
    <w:rPr>
      <w:rFonts w:ascii="Tahoma" w:hAnsi="Tahoma" w:cs="Tahoma"/>
      <w:color w:val="6F6F6E"/>
      <w:sz w:val="16"/>
      <w:szCs w:val="16"/>
    </w:rPr>
  </w:style>
  <w:style w:type="paragraph" w:customStyle="1" w:styleId="Tabletextindented">
    <w:name w:val="Table text indented"/>
    <w:basedOn w:val="Tabletext"/>
    <w:qFormat/>
    <w:rsid w:val="00D73661"/>
    <w:pPr>
      <w:ind w:left="142"/>
    </w:pPr>
    <w:rPr>
      <w:lang w:val="en-US" w:eastAsia="nl-NL"/>
    </w:rPr>
  </w:style>
  <w:style w:type="character" w:styleId="CommentReference">
    <w:name w:val="annotation reference"/>
    <w:basedOn w:val="DefaultParagraphFont"/>
    <w:uiPriority w:val="99"/>
    <w:semiHidden/>
    <w:unhideWhenUsed/>
    <w:rsid w:val="006608C2"/>
    <w:rPr>
      <w:sz w:val="16"/>
      <w:szCs w:val="16"/>
    </w:rPr>
  </w:style>
  <w:style w:type="paragraph" w:styleId="CommentText">
    <w:name w:val="annotation text"/>
    <w:basedOn w:val="Normal"/>
    <w:link w:val="CommentTextChar"/>
    <w:uiPriority w:val="99"/>
    <w:semiHidden/>
    <w:unhideWhenUsed/>
    <w:rsid w:val="006608C2"/>
    <w:pPr>
      <w:spacing w:line="240" w:lineRule="auto"/>
    </w:pPr>
    <w:rPr>
      <w:sz w:val="20"/>
      <w:szCs w:val="20"/>
    </w:rPr>
  </w:style>
  <w:style w:type="character" w:customStyle="1" w:styleId="CommentTextChar">
    <w:name w:val="Comment Text Char"/>
    <w:basedOn w:val="DefaultParagraphFont"/>
    <w:link w:val="CommentText"/>
    <w:uiPriority w:val="99"/>
    <w:semiHidden/>
    <w:rsid w:val="006608C2"/>
    <w:rPr>
      <w:color w:val="6F6F6E"/>
      <w:sz w:val="20"/>
      <w:szCs w:val="20"/>
    </w:rPr>
  </w:style>
  <w:style w:type="paragraph" w:styleId="CommentSubject">
    <w:name w:val="annotation subject"/>
    <w:basedOn w:val="CommentText"/>
    <w:next w:val="CommentText"/>
    <w:link w:val="CommentSubjectChar"/>
    <w:uiPriority w:val="99"/>
    <w:semiHidden/>
    <w:unhideWhenUsed/>
    <w:rsid w:val="006608C2"/>
    <w:rPr>
      <w:b/>
      <w:bCs/>
    </w:rPr>
  </w:style>
  <w:style w:type="character" w:customStyle="1" w:styleId="CommentSubjectChar">
    <w:name w:val="Comment Subject Char"/>
    <w:basedOn w:val="CommentTextChar"/>
    <w:link w:val="CommentSubject"/>
    <w:uiPriority w:val="99"/>
    <w:semiHidden/>
    <w:rsid w:val="006608C2"/>
    <w:rPr>
      <w:b/>
      <w:bCs/>
      <w:color w:val="6F6F6E"/>
      <w:sz w:val="20"/>
      <w:szCs w:val="20"/>
    </w:rPr>
  </w:style>
  <w:style w:type="paragraph" w:styleId="PlainText">
    <w:name w:val="Plain Text"/>
    <w:basedOn w:val="Normal"/>
    <w:link w:val="PlainTextChar"/>
    <w:uiPriority w:val="99"/>
    <w:unhideWhenUsed/>
    <w:rsid w:val="00A07954"/>
    <w:pPr>
      <w:spacing w:after="0" w:line="240" w:lineRule="auto"/>
    </w:pPr>
    <w:rPr>
      <w:rFonts w:ascii="Calibri" w:hAnsi="Calibri" w:cs="Calibri"/>
      <w:color w:val="auto"/>
      <w:sz w:val="22"/>
    </w:rPr>
  </w:style>
  <w:style w:type="character" w:customStyle="1" w:styleId="PlainTextChar">
    <w:name w:val="Plain Text Char"/>
    <w:basedOn w:val="DefaultParagraphFont"/>
    <w:link w:val="PlainText"/>
    <w:uiPriority w:val="99"/>
    <w:rsid w:val="00A0795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4142">
      <w:bodyDiv w:val="1"/>
      <w:marLeft w:val="0"/>
      <w:marRight w:val="0"/>
      <w:marTop w:val="0"/>
      <w:marBottom w:val="0"/>
      <w:divBdr>
        <w:top w:val="none" w:sz="0" w:space="0" w:color="auto"/>
        <w:left w:val="none" w:sz="0" w:space="0" w:color="auto"/>
        <w:bottom w:val="none" w:sz="0" w:space="0" w:color="auto"/>
        <w:right w:val="none" w:sz="0" w:space="0" w:color="auto"/>
      </w:divBdr>
    </w:div>
    <w:div w:id="381517787">
      <w:bodyDiv w:val="1"/>
      <w:marLeft w:val="0"/>
      <w:marRight w:val="0"/>
      <w:marTop w:val="0"/>
      <w:marBottom w:val="0"/>
      <w:divBdr>
        <w:top w:val="none" w:sz="0" w:space="0" w:color="auto"/>
        <w:left w:val="none" w:sz="0" w:space="0" w:color="auto"/>
        <w:bottom w:val="none" w:sz="0" w:space="0" w:color="auto"/>
        <w:right w:val="none" w:sz="0" w:space="0" w:color="auto"/>
      </w:divBdr>
    </w:div>
    <w:div w:id="911425682">
      <w:bodyDiv w:val="1"/>
      <w:marLeft w:val="0"/>
      <w:marRight w:val="0"/>
      <w:marTop w:val="0"/>
      <w:marBottom w:val="0"/>
      <w:divBdr>
        <w:top w:val="none" w:sz="0" w:space="0" w:color="auto"/>
        <w:left w:val="none" w:sz="0" w:space="0" w:color="auto"/>
        <w:bottom w:val="none" w:sz="0" w:space="0" w:color="auto"/>
        <w:right w:val="none" w:sz="0" w:space="0" w:color="auto"/>
      </w:divBdr>
    </w:div>
    <w:div w:id="1218277695">
      <w:bodyDiv w:val="1"/>
      <w:marLeft w:val="0"/>
      <w:marRight w:val="0"/>
      <w:marTop w:val="0"/>
      <w:marBottom w:val="0"/>
      <w:divBdr>
        <w:top w:val="none" w:sz="0" w:space="0" w:color="auto"/>
        <w:left w:val="none" w:sz="0" w:space="0" w:color="auto"/>
        <w:bottom w:val="none" w:sz="0" w:space="0" w:color="auto"/>
        <w:right w:val="none" w:sz="0" w:space="0" w:color="auto"/>
      </w:divBdr>
    </w:div>
    <w:div w:id="1343625436">
      <w:bodyDiv w:val="1"/>
      <w:marLeft w:val="0"/>
      <w:marRight w:val="0"/>
      <w:marTop w:val="0"/>
      <w:marBottom w:val="0"/>
      <w:divBdr>
        <w:top w:val="none" w:sz="0" w:space="0" w:color="auto"/>
        <w:left w:val="none" w:sz="0" w:space="0" w:color="auto"/>
        <w:bottom w:val="none" w:sz="0" w:space="0" w:color="auto"/>
        <w:right w:val="none" w:sz="0" w:space="0" w:color="auto"/>
      </w:divBdr>
    </w:div>
    <w:div w:id="1754622009">
      <w:bodyDiv w:val="1"/>
      <w:marLeft w:val="0"/>
      <w:marRight w:val="0"/>
      <w:marTop w:val="0"/>
      <w:marBottom w:val="0"/>
      <w:divBdr>
        <w:top w:val="none" w:sz="0" w:space="0" w:color="auto"/>
        <w:left w:val="none" w:sz="0" w:space="0" w:color="auto"/>
        <w:bottom w:val="none" w:sz="0" w:space="0" w:color="auto"/>
        <w:right w:val="none" w:sz="0" w:space="0" w:color="auto"/>
      </w:divBdr>
    </w:div>
    <w:div w:id="1853105314">
      <w:bodyDiv w:val="1"/>
      <w:marLeft w:val="0"/>
      <w:marRight w:val="0"/>
      <w:marTop w:val="0"/>
      <w:marBottom w:val="0"/>
      <w:divBdr>
        <w:top w:val="none" w:sz="0" w:space="0" w:color="auto"/>
        <w:left w:val="none" w:sz="0" w:space="0" w:color="auto"/>
        <w:bottom w:val="none" w:sz="0" w:space="0" w:color="auto"/>
        <w:right w:val="none" w:sz="0" w:space="0" w:color="auto"/>
      </w:divBdr>
    </w:div>
    <w:div w:id="20574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irehealthc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irehealthcare.com" TargetMode="External"/><Relationship Id="rId5" Type="http://schemas.openxmlformats.org/officeDocument/2006/relationships/settings" Target="settings.xml"/><Relationship Id="rId10" Type="http://schemas.openxmlformats.org/officeDocument/2006/relationships/hyperlink" Target="http://webcast.openbriefing.com/spire_healthcare_full_year_results_201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pi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FE87-D946-4436-9259-7988BFCD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13309</Words>
  <Characters>75865</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88997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Harwood</dc:creator>
  <cp:lastModifiedBy>LAKER, Vanessa</cp:lastModifiedBy>
  <cp:revision>2</cp:revision>
  <cp:lastPrinted>2016-03-10T16:24:00Z</cp:lastPrinted>
  <dcterms:created xsi:type="dcterms:W3CDTF">2020-02-19T13:04:00Z</dcterms:created>
  <dcterms:modified xsi:type="dcterms:W3CDTF">2020-02-19T13:04:00Z</dcterms:modified>
</cp:coreProperties>
</file>